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32"/>
        </w:rPr>
        <w:t xml:space="preserve"> </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32"/>
        </w:rPr>
        <w:t xml:space="preserve"> </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rPr>
        <w:t xml:space="preserve">泰州市政府采购项目</w:t>
      </w:r>
      <w:r/>
    </w:p>
    <w:p>
      <w:pPr>
        <w:ind w:firstLine="480"/>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52"/>
        </w:rPr>
        <w:t xml:space="preserve"> </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52"/>
        </w:rPr>
        <w:t xml:space="preserve">竞争性磋商文件</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40"/>
        </w:rPr>
        <w:t xml:space="preserve">(</w:t>
      </w:r>
      <w:r>
        <w:rPr>
          <w:rFonts w:ascii="宋体" w:hAnsi="宋体" w:cs="宋体"/>
          <w:color w:val="000000" w:themeColor="text1"/>
          <w:sz w:val="40"/>
        </w:rPr>
        <w:t xml:space="preserve">全流程电子化不见面开标）</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32"/>
        </w:rPr>
        <w:t xml:space="preserve"> </w:t>
      </w:r>
      <w:r/>
    </w:p>
    <w:p>
      <w:pPr>
        <w:ind w:left="1606" w:hanging="1606"/>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rPr>
        <w:t xml:space="preserve"> </w:t>
      </w:r>
      <w:r/>
    </w:p>
    <w:p>
      <w:pPr>
        <w:ind w:left="1606" w:hanging="1606"/>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rPr>
        <w:t xml:space="preserve"> </w:t>
      </w:r>
      <w:r/>
    </w:p>
    <w:p>
      <w:pPr>
        <w:ind w:left="1606" w:hanging="1606"/>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rPr>
        <w:t xml:space="preserve"> </w:t>
      </w:r>
      <w:r/>
    </w:p>
    <w:p>
      <w:pPr>
        <w:ind w:left="1405" w:hanging="1405"/>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 </w:t>
      </w:r>
      <w:r/>
    </w:p>
    <w:p>
      <w:pPr>
        <w:ind w:left="1405" w:hanging="1405"/>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项目名称：</w:t>
      </w:r>
      <w:bookmarkStart w:id="0" w:name="OLE_LINK5"/>
      <w:r>
        <w:rPr>
          <w:rFonts w:ascii="宋体" w:hAnsi="宋体" w:cs="宋体"/>
          <w:b/>
          <w:color w:val="000000" w:themeColor="text1"/>
          <w:sz w:val="28"/>
        </w:rPr>
        <w:t xml:space="preserve">泰州市中医院药用包装材料采购及配送项目</w:t>
      </w:r>
      <w:bookmarkEnd w:id="0"/>
      <w:r/>
      <w:r/>
    </w:p>
    <w:p>
      <w:pP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项目编号: </w:t>
      </w:r>
      <w:r>
        <w:rPr>
          <w:rFonts w:ascii="宋体" w:hAnsi="宋体" w:cs="宋体"/>
          <w:b/>
          <w:color w:val="000000" w:themeColor="text1"/>
          <w:sz w:val="28"/>
        </w:rPr>
        <w:t xml:space="preserve">JSZC-321200-RHGS-C2025-0058</w:t>
      </w:r>
      <w:r/>
    </w:p>
    <w:p>
      <w:pP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采购人：泰州市中医院</w:t>
      </w:r>
      <w:r/>
    </w:p>
    <w:p>
      <w:pP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采购代理机构：泰州瑞恒项目管理有限公司</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32"/>
        </w:rPr>
        <w:t xml:space="preserve"> </w:t>
      </w:r>
      <w:r/>
    </w:p>
    <w:p>
      <w:pPr>
        <w:jc w:val="center"/>
        <w:spacing w:before="120" w:after="120" w:line="360"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Times New Roman" w:hAnsi="Times New Roman" w:eastAsiaTheme="minorEastAsia"/>
          <w:b/>
          <w:color w:val="000000" w:themeColor="text1"/>
          <w:sz w:val="32"/>
        </w:rPr>
        <w:t xml:space="preserve">2025</w:t>
      </w:r>
      <w:r>
        <w:rPr>
          <w:rFonts w:ascii="宋体" w:hAnsi="宋体" w:cs="宋体"/>
          <w:b/>
          <w:color w:val="000000" w:themeColor="text1"/>
          <w:sz w:val="32"/>
        </w:rPr>
        <w:t xml:space="preserve">年</w:t>
      </w:r>
      <w:r>
        <w:rPr>
          <w:rFonts w:hint="eastAsia" w:ascii="Times New Roman" w:hAnsi="Times New Roman" w:eastAsiaTheme="minorEastAsia"/>
          <w:b/>
          <w:color w:val="000000" w:themeColor="text1"/>
          <w:sz w:val="32"/>
        </w:rPr>
        <w:t xml:space="preserve">11</w:t>
      </w:r>
      <w:r>
        <w:rPr>
          <w:rFonts w:ascii="宋体" w:hAnsi="宋体" w:cs="宋体"/>
          <w:b/>
          <w:color w:val="000000" w:themeColor="text1"/>
          <w:sz w:val="32"/>
        </w:rPr>
        <w:t xml:space="preserve">月</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32"/>
        </w:rPr>
        <w:t xml:space="preserve"> </w:t>
      </w:r>
      <w:r/>
    </w:p>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rPr>
        <w:t xml:space="preserve">目  录</w:t>
      </w:r>
      <w:r/>
    </w:p>
    <w:p>
      <w:pPr>
        <w:ind w:firstLine="301"/>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rPr>
        <w:t xml:space="preserve"> </w:t>
      </w:r>
      <w:r/>
    </w:p>
    <w:p>
      <w:pPr>
        <w:jc w:val="both"/>
        <w:spacing w:after="0" w:line="113" w:lineRule="atLeast"/>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4" w:tooltip="http://jszfcg.jsczt.cn/jszc/onlyoffice/7.2.1-34/web-apps/apps/documenteditor/main/index_loader.html?_dc=7.2.1-34&amp;lang=zh&amp;customer=%20&amp;logo=%20&amp;headerlogo=%2Ffavicon.ico&amp;frameEditorId=iframePage&amp;compact=true&amp;parentOrigin=http://jszfcg.jsczt.cn#_Toc16887" w:anchor="_Toc16887" w:history="1">
        <w:r>
          <w:rPr>
            <w:rStyle w:val="862"/>
            <w:rFonts w:ascii="宋体" w:hAnsi="宋体" w:cs="宋体"/>
            <w:color w:val="000000" w:themeColor="text1"/>
            <w:sz w:val="32"/>
          </w:rPr>
          <w:t xml:space="preserve">第一章  竞争性磋商公告</w:t>
        </w:r>
      </w:hyperlink>
      <w:r/>
      <w:r/>
    </w:p>
    <w:p>
      <w:pPr>
        <w:jc w:val="both"/>
        <w:spacing w:after="0" w:line="113" w:lineRule="atLeast"/>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5" w:tooltip="http://jszfcg.jsczt.cn/jszc/onlyoffice/7.2.1-34/web-apps/apps/documenteditor/main/index_loader.html?_dc=7.2.1-34&amp;lang=zh&amp;customer=%20&amp;logo=%20&amp;headerlogo=%2Ffavicon.ico&amp;frameEditorId=iframePage&amp;compact=true&amp;parentOrigin=http://jszfcg.jsczt.cn#_Toc28896" w:anchor="_Toc28896" w:history="1">
        <w:r>
          <w:rPr>
            <w:rStyle w:val="862"/>
            <w:rFonts w:ascii="宋体" w:hAnsi="宋体" w:cs="宋体"/>
            <w:color w:val="000000" w:themeColor="text1"/>
            <w:sz w:val="32"/>
          </w:rPr>
          <w:t xml:space="preserve">第二章  参加磋商供应商须知</w:t>
        </w:r>
      </w:hyperlink>
      <w:r/>
      <w:r/>
    </w:p>
    <w:p>
      <w:pPr>
        <w:jc w:val="both"/>
        <w:spacing w:after="0" w:line="113" w:lineRule="atLeast"/>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6" w:tooltip="http://jszfcg.jsczt.cn/jszc/onlyoffice/7.2.1-34/web-apps/apps/documenteditor/main/index_loader.html?_dc=7.2.1-34&amp;lang=zh&amp;customer=%20&amp;logo=%20&amp;headerlogo=%2Ffavicon.ico&amp;frameEditorId=iframePage&amp;compact=true&amp;parentOrigin=http://jszfcg.jsczt.cn#_Toc20325" w:anchor="_Toc20325" w:history="1">
        <w:r>
          <w:rPr>
            <w:rStyle w:val="862"/>
            <w:rFonts w:ascii="宋体" w:hAnsi="宋体" w:cs="宋体"/>
            <w:color w:val="000000" w:themeColor="text1"/>
            <w:sz w:val="32"/>
          </w:rPr>
          <w:t xml:space="preserve">第三章  合同条款及格式</w:t>
        </w:r>
      </w:hyperlink>
      <w:r/>
      <w:r/>
    </w:p>
    <w:p>
      <w:pPr>
        <w:jc w:val="both"/>
        <w:spacing w:after="0" w:line="113" w:lineRule="atLeast"/>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7" w:tooltip="http://jszfcg.jsczt.cn/jszc/onlyoffice/7.2.1-34/web-apps/apps/documenteditor/main/index_loader.html?_dc=7.2.1-34&amp;lang=zh&amp;customer=%20&amp;logo=%20&amp;headerlogo=%2Ffavicon.ico&amp;frameEditorId=iframePage&amp;compact=true&amp;parentOrigin=http://jszfcg.jsczt.cn#_Toc32522" w:anchor="_Toc32522" w:history="1">
        <w:r>
          <w:rPr>
            <w:rStyle w:val="862"/>
            <w:rFonts w:ascii="宋体" w:hAnsi="宋体" w:cs="宋体"/>
            <w:color w:val="000000" w:themeColor="text1"/>
            <w:sz w:val="32"/>
          </w:rPr>
          <w:t xml:space="preserve">第四章  采购需求</w:t>
        </w:r>
      </w:hyperlink>
      <w:r/>
      <w:r/>
    </w:p>
    <w:p>
      <w:pPr>
        <w:jc w:val="both"/>
        <w:spacing w:after="0" w:line="113" w:lineRule="atLeast"/>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8" w:tooltip="http://jszfcg.jsczt.cn/jszc/onlyoffice/7.2.1-34/web-apps/apps/documenteditor/main/index_loader.html?_dc=7.2.1-34&amp;lang=zh&amp;customer=%20&amp;logo=%20&amp;headerlogo=%2Ffavicon.ico&amp;frameEditorId=iframePage&amp;compact=true&amp;parentOrigin=http://jszfcg.jsczt.cn#_Toc10158" w:anchor="_Toc10158" w:history="1">
        <w:r>
          <w:rPr>
            <w:rStyle w:val="862"/>
            <w:rFonts w:ascii="宋体" w:hAnsi="宋体" w:cs="宋体"/>
            <w:color w:val="000000" w:themeColor="text1"/>
            <w:sz w:val="32"/>
          </w:rPr>
          <w:t xml:space="preserve">第五章  评审方法和评审标准</w:t>
        </w:r>
      </w:hyperlink>
      <w:r/>
      <w:r/>
    </w:p>
    <w:p>
      <w:pPr>
        <w:jc w:val="both"/>
        <w:spacing w:after="0"/>
        <w:tabs>
          <w:tab w:val="left" w:pos="8306" w:leader="none"/>
        </w:tabs>
        <w:rPr>
          <w:color w:val="000000" w:themeColor="text1"/>
        </w:rPr>
        <w:pBdr>
          <w:top w:val="none" w:color="000000" w:sz="0" w:space="0"/>
          <w:left w:val="none" w:color="000000" w:sz="0" w:space="0"/>
          <w:bottom w:val="none" w:color="000000" w:sz="0" w:space="0"/>
          <w:right w:val="none" w:color="000000" w:sz="0" w:space="0"/>
        </w:pBdr>
      </w:pPr>
      <w:r/>
      <w:hyperlink r:id="rId19" w:tooltip="http://jszfcg.jsczt.cn/jszc/onlyoffice/7.2.1-34/web-apps/apps/documenteditor/main/index_loader.html?_dc=7.2.1-34&amp;lang=zh&amp;customer=%20&amp;logo=%20&amp;headerlogo=%2Ffavicon.ico&amp;frameEditorId=iframePage&amp;compact=true&amp;parentOrigin=http://jszfcg.jsczt.cn#_Toc31610" w:anchor="_Toc31610" w:history="1">
        <w:r>
          <w:rPr>
            <w:rStyle w:val="862"/>
            <w:rFonts w:ascii="宋体" w:hAnsi="宋体" w:cs="宋体"/>
            <w:color w:val="000000" w:themeColor="text1"/>
            <w:sz w:val="32"/>
          </w:rPr>
          <w:t xml:space="preserve">第六章  响应文件的组成和格式</w:t>
        </w:r>
      </w:hyperlink>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pStyle w:val="879"/>
        <w:numPr>
          <w:ilvl w:val="0"/>
          <w:numId w:val="4"/>
        </w:numPr>
        <w:jc w:val="center"/>
        <w:spacing w:after="0"/>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竞争性磋商公告</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spacing w:after="0" w:line="360" w:lineRule="auto"/>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1"/>
        </w:rPr>
        <w:t xml:space="preserve">项目概况</w:t>
      </w:r>
      <w:r/>
    </w:p>
    <w:p>
      <w:pPr>
        <w:ind w:firstLine="420"/>
        <w:jc w:val="both"/>
        <w:spacing w:after="0" w:line="360" w:lineRule="auto"/>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1"/>
          <w:u w:val="single"/>
        </w:rPr>
        <w:t xml:space="preserve">泰州市中医院药用包装材料采购及配送项目</w:t>
      </w:r>
      <w:r>
        <w:rPr>
          <w:rFonts w:ascii="宋体" w:hAnsi="宋体" w:cs="宋体"/>
          <w:color w:val="000000" w:themeColor="text1"/>
          <w:sz w:val="21"/>
        </w:rPr>
        <w:t xml:space="preserve">的潜在供应商应在</w:t>
      </w:r>
      <w:r>
        <w:rPr>
          <w:rFonts w:ascii="宋体" w:hAnsi="宋体" w:cs="宋体"/>
          <w:color w:val="000000" w:themeColor="text1"/>
          <w:sz w:val="21"/>
          <w:u w:val="single"/>
        </w:rPr>
        <w:t xml:space="preserve">“苏采云”政府采购一体化平台自行免费下载</w:t>
      </w:r>
      <w:r>
        <w:rPr>
          <w:rFonts w:ascii="宋体" w:hAnsi="宋体" w:cs="宋体"/>
          <w:color w:val="000000" w:themeColor="text1"/>
          <w:sz w:val="21"/>
        </w:rPr>
        <w:t xml:space="preserve">磋商文件，并于</w:t>
      </w:r>
      <w:r>
        <w:rPr>
          <w:rFonts w:ascii="宋体" w:hAnsi="宋体" w:cs="宋体"/>
          <w:color w:val="000000" w:themeColor="text1"/>
          <w:sz w:val="21"/>
          <w:u w:val="single"/>
        </w:rPr>
        <w:t xml:space="preserve">2025年11月18日09点00分</w:t>
      </w:r>
      <w:r>
        <w:rPr>
          <w:rFonts w:ascii="宋体" w:hAnsi="宋体" w:cs="宋体"/>
          <w:color w:val="000000" w:themeColor="text1"/>
          <w:sz w:val="21"/>
        </w:rPr>
        <w:t xml:space="preserve">（北</w:t>
      </w:r>
      <w:r>
        <w:rPr>
          <w:rFonts w:ascii="宋体" w:hAnsi="宋体" w:cs="宋体"/>
          <w:color w:val="000000" w:themeColor="text1"/>
          <w:sz w:val="21"/>
        </w:rPr>
        <w:t xml:space="preserve">京时间）前提交响应文件。</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一、项目基本情况</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1、项目编号：</w:t>
      </w:r>
      <w:r>
        <w:rPr>
          <w:rFonts w:ascii="宋体" w:hAnsi="宋体" w:cs="宋体"/>
          <w:color w:val="000000" w:themeColor="text1"/>
          <w:sz w:val="21"/>
        </w:rPr>
        <w:t xml:space="preserve">JSZC-321200-RHGS-C2025-0058</w:t>
      </w:r>
      <w:r>
        <w:rPr>
          <w:rFonts w:ascii="宋体" w:hAnsi="宋体" w:cs="宋体"/>
          <w:color w:val="000000" w:themeColor="text1"/>
          <w:sz w:val="21"/>
        </w:rPr>
        <w:t xml:space="preserve"> </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2、项目名称：泰州市中医院药用包装材料采购及配送项目</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3、采购方式：□竞争性谈判 </w:t>
      </w:r>
      <w:r>
        <w:rPr>
          <w:rFonts w:ascii="Wingdings" w:hAnsi="Wingdings" w:eastAsia="Wingdings" w:cs="Wingdings"/>
          <w:color w:val="000000" w:themeColor="text1"/>
          <w:sz w:val="21"/>
        </w:rPr>
        <w:t xml:space="preserve">þ</w:t>
      </w:r>
      <w:r>
        <w:rPr>
          <w:rFonts w:ascii="宋体" w:hAnsi="宋体" w:cs="宋体"/>
          <w:color w:val="000000" w:themeColor="text1"/>
          <w:sz w:val="21"/>
        </w:rPr>
        <w:t xml:space="preserve">竞争性磋商 □询价</w:t>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4、预算金额: 人民币</w:t>
      </w:r>
      <w:r>
        <w:rPr>
          <w:rFonts w:hint="eastAsia" w:ascii="宋体" w:hAnsi="宋体" w:cs="宋体"/>
          <w:color w:val="000000" w:themeColor="text1"/>
          <w:sz w:val="21"/>
        </w:rPr>
        <w:t xml:space="preserve">134.7028万元</w:t>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5、最高限价: </w:t>
      </w:r>
      <w:bookmarkStart w:id="1" w:name="OLE_LINK22"/>
      <w:r>
        <w:rPr>
          <w:rFonts w:hint="eastAsia" w:ascii="宋体" w:hAnsi="宋体" w:cs="宋体"/>
          <w:color w:val="000000" w:themeColor="text1"/>
          <w:sz w:val="21"/>
        </w:rPr>
        <w:t xml:space="preserve">94.</w:t>
      </w:r>
      <w:r>
        <w:rPr>
          <w:rFonts w:hint="eastAsia" w:ascii="宋体" w:hAnsi="宋体" w:cs="宋体"/>
          <w:color w:val="000000" w:themeColor="text1"/>
          <w:sz w:val="21"/>
        </w:rPr>
        <w:t xml:space="preserve">838</w:t>
      </w:r>
      <w:r>
        <w:rPr>
          <w:rFonts w:hint="eastAsia" w:ascii="宋体" w:hAnsi="宋体" w:cs="宋体"/>
          <w:color w:val="000000" w:themeColor="text1"/>
          <w:sz w:val="21"/>
        </w:rPr>
        <w:t xml:space="preserve">万元</w:t>
      </w:r>
      <w:bookmarkEnd w:id="1"/>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最高限价：</w:t>
      </w:r>
      <w:r>
        <w:rPr>
          <w:rFonts w:hint="eastAsia" w:ascii="宋体" w:hAnsi="宋体" w:cs="宋体"/>
          <w:color w:val="000000" w:themeColor="text1"/>
          <w:sz w:val="21"/>
        </w:rPr>
        <w:t xml:space="preserve">94.</w:t>
      </w:r>
      <w:r>
        <w:rPr>
          <w:rFonts w:hint="eastAsia" w:ascii="宋体" w:hAnsi="宋体" w:cs="宋体"/>
          <w:color w:val="000000" w:themeColor="text1"/>
          <w:sz w:val="21"/>
        </w:rPr>
        <w:t xml:space="preserve">838</w:t>
      </w:r>
      <w:r>
        <w:rPr>
          <w:rFonts w:hint="eastAsia" w:ascii="宋体" w:hAnsi="宋体" w:cs="宋体"/>
          <w:color w:val="000000" w:themeColor="text1"/>
          <w:sz w:val="21"/>
        </w:rPr>
        <w:t xml:space="preserve">万元</w:t>
      </w:r>
      <w:r>
        <w:rPr>
          <w:rFonts w:ascii="宋体" w:hAnsi="宋体" w:cs="宋体"/>
          <w:color w:val="000000" w:themeColor="text1"/>
          <w:sz w:val="21"/>
        </w:rPr>
        <w:t xml:space="preserve">（投标报价不得超过采购项目最高限价金额，否则按无效投标处理）</w:t>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6、采购需求：</w:t>
      </w:r>
      <w:r>
        <w:rPr>
          <w:rFonts w:hint="eastAsia" w:ascii="宋体" w:hAnsi="宋体" w:cs="宋体"/>
          <w:color w:val="000000" w:themeColor="text1"/>
          <w:sz w:val="21"/>
        </w:rPr>
        <w:t xml:space="preserve">包装材料采购及配送</w:t>
      </w:r>
      <w:r>
        <w:rPr>
          <w:rFonts w:ascii="宋体" w:hAnsi="宋体" w:cs="宋体"/>
          <w:color w:val="000000" w:themeColor="text1"/>
          <w:sz w:val="21"/>
        </w:rPr>
        <w:t xml:space="preserve">，具体要求详见</w:t>
      </w:r>
      <w:r>
        <w:rPr>
          <w:rFonts w:hint="eastAsia" w:ascii="宋体" w:hAnsi="宋体" w:cs="宋体"/>
          <w:color w:val="000000" w:themeColor="text1"/>
          <w:sz w:val="21"/>
        </w:rPr>
        <w:t xml:space="preserve">采购文件</w:t>
      </w:r>
      <w:r>
        <w:rPr>
          <w:rFonts w:ascii="宋体" w:hAnsi="宋体" w:cs="宋体"/>
          <w:color w:val="000000" w:themeColor="text1"/>
          <w:sz w:val="21"/>
        </w:rPr>
        <w:t xml:space="preserve">。</w:t>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7、合同履行期限：</w:t>
      </w:r>
      <w:r>
        <w:rPr>
          <w:rFonts w:hint="eastAsia" w:ascii="宋体" w:hAnsi="宋体" w:cs="宋体"/>
          <w:color w:val="000000" w:themeColor="text1"/>
          <w:sz w:val="21"/>
        </w:rPr>
        <w:t xml:space="preserve">1年供货期（含三个月试用期）</w:t>
      </w:r>
      <w:r>
        <w:rPr>
          <w:rFonts w:ascii="宋体" w:hAnsi="宋体" w:cs="宋体"/>
          <w:color w:val="000000" w:themeColor="text1"/>
          <w:sz w:val="21"/>
        </w:rPr>
        <w:t xml:space="preserve">。</w:t>
      </w:r>
      <w:r/>
    </w:p>
    <w:p>
      <w:pPr>
        <w:ind w:firstLine="420"/>
        <w:jc w:val="both"/>
        <w:spacing w:after="0" w:line="360" w:lineRule="auto"/>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8、本项目不接受联合体。</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二、申请人的资格要求</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（一）满足《中华人民共和国政府采购法》第二十二条规定：</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1、具有独立承担民事责任的能力；</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2、具有良好的商业信誉和健全的财务会计制度；</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3、履行合同所必须的设备和专业技术能力；</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4、有依法缴纳税收和社会保障资金的良好记录；</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5、参加政府采购活动前三年内，在经营活动中没有重大违法记录；</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6、法律、行政法规规定的其他条件。</w:t>
      </w:r>
      <w:r/>
    </w:p>
    <w:p>
      <w:pPr>
        <w:ind w:firstLine="420"/>
        <w:jc w:val="both"/>
        <w:spacing w:after="0" w:line="360" w:lineRule="auto"/>
        <w:rPr>
          <w:iCs/>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（二）落实政府采购政策需满足的资格要求：</w:t>
      </w:r>
      <w:r>
        <w:rPr>
          <w:rFonts w:ascii="宋体" w:hAnsi="宋体" w:cs="宋体"/>
          <w:b/>
          <w:iCs/>
          <w:color w:val="000000" w:themeColor="text1"/>
          <w:sz w:val="21"/>
          <w:u w:val="single"/>
        </w:rPr>
        <w:t xml:space="preserve">本项目专门面向中小企业，供应商应为中小微企业、监狱企业、残疾人福利性单位之一。</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（三）未被“信用中国”网站（www.creditchina.gov.cn）列入失信被执行人、重大税收违法案件当事人名单、政府采购严重失信行为记录名单；</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（四）单位法定代表人/负责人为同一人或者存在直接控股、管理关系的不同供应商，不得参加同一合同项下的政府采购活动；</w:t>
      </w:r>
      <w:r/>
    </w:p>
    <w:p>
      <w:pPr>
        <w:ind w:firstLine="420"/>
        <w:jc w:val="both"/>
        <w:spacing w:after="0" w:line="360" w:lineRule="auto"/>
        <w:rPr>
          <w:rFonts w:hint="eastAsia" w:ascii="宋体" w:hAnsi="宋体" w:cs="宋体"/>
          <w:b/>
          <w:iCs/>
          <w:color w:val="000000" w:themeColor="text1"/>
          <w:sz w:val="21"/>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（五）本项目特定资格要求：</w:t>
      </w:r>
      <w:r>
        <w:rPr>
          <w:rFonts w:hint="eastAsia" w:ascii="宋体" w:hAnsi="宋体" w:cs="宋体"/>
          <w:b/>
          <w:iCs/>
          <w:color w:val="000000" w:themeColor="text1"/>
          <w:sz w:val="21"/>
          <w:u w:val="single"/>
        </w:rPr>
        <w:t xml:space="preserve">药包材生产厂家应在国家药品监督管理局药品审评中心药包材登记数据库可查询，且与制剂共同审评审批结果为A</w:t>
      </w:r>
      <w:r>
        <w:rPr>
          <w:rFonts w:ascii="宋体" w:hAnsi="宋体" w:cs="宋体"/>
          <w:b/>
          <w:iCs/>
          <w:color w:val="000000" w:themeColor="text1"/>
          <w:sz w:val="21"/>
          <w:u w:val="single"/>
        </w:rPr>
        <w:t xml:space="preserve">。</w:t>
      </w:r>
      <w:r/>
    </w:p>
    <w:p>
      <w:pPr>
        <w:ind w:firstLine="420"/>
        <w:jc w:val="both"/>
        <w:spacing w:after="0" w:line="360" w:lineRule="auto"/>
        <w:rPr>
          <w:rFonts w:hint="eastAsia" w:ascii="宋体" w:hAnsi="宋体" w:cs="宋体"/>
          <w:b/>
          <w:i/>
          <w:iCs/>
          <w:color w:val="000000" w:themeColor="text1"/>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000000" w:themeColor="text1"/>
          <w:sz w:val="21"/>
          <w:szCs w:val="21"/>
          <w:u w:val="single"/>
        </w:rPr>
        <w:t xml:space="preserve">注：特定资格的认定：药包材生产厂家应在国家药品监督管理局药品审评中心药包材登记数据库可查询，且与制剂共同审评审批结果为A。响应文件中须附所有标的（产品）的生产厂家在国家药品监督管理局药品审评中心药包材登记数据库查询结果为A的截图加盖供应商公章，截图需清晰可见，能明</w:t>
      </w:r>
      <w:r>
        <w:rPr>
          <w:rFonts w:hint="eastAsia" w:ascii="宋体" w:hAnsi="宋体" w:cs="宋体"/>
          <w:b/>
          <w:i/>
          <w:iCs/>
          <w:color w:val="000000" w:themeColor="text1"/>
          <w:sz w:val="21"/>
          <w:szCs w:val="21"/>
          <w:u w:val="single"/>
        </w:rPr>
        <w:t xml:space="preserve">确显示产品核心信息，采购人及磋商小组有权在评审时现场网上抽查核验其真实性，如发现信息不符等弄虚作假行为，将作废标处理并追究其责任。</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三、获取采购文件</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1、时间：</w:t>
      </w:r>
      <w:r>
        <w:rPr>
          <w:rFonts w:hint="eastAsia" w:ascii="宋体" w:hAnsi="宋体" w:cs="宋体"/>
          <w:color w:val="000000" w:themeColor="text1"/>
          <w:sz w:val="21"/>
        </w:rPr>
        <w:t xml:space="preserve">自磋商文件公告发布之日起5个工作日</w:t>
      </w:r>
      <w:r>
        <w:rPr>
          <w:rFonts w:ascii="宋体" w:hAnsi="宋体" w:cs="宋体"/>
          <w:color w:val="000000" w:themeColor="text1"/>
          <w:sz w:val="21"/>
        </w:rPr>
        <w:t xml:space="preserve">。</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2、地点：供应商完成注册并办理CA证书后在“苏采云”系统下载本项目的采购文件</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3、方式：登录“苏采云”系统自行下载</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4、售价：免费</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四、响应文件提交</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截止时间：</w:t>
      </w:r>
      <w:r>
        <w:rPr>
          <w:rFonts w:ascii="宋体" w:hAnsi="宋体" w:cs="宋体"/>
          <w:color w:val="000000" w:themeColor="text1"/>
          <w:sz w:val="21"/>
        </w:rPr>
        <w:t xml:space="preserve">2025年11月18日09点00分</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五、开启</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时间：</w:t>
      </w:r>
      <w:r>
        <w:rPr>
          <w:rFonts w:ascii="宋体" w:hAnsi="宋体" w:cs="宋体"/>
          <w:color w:val="000000" w:themeColor="text1"/>
          <w:sz w:val="21"/>
        </w:rPr>
        <w:t xml:space="preserve">2025年11月18日09点00分</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地点：“苏采云”系统“开标大厅”</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六、公告期限</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自本公告发布之日起3个工作日。</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七、其他补充事宜：</w:t>
      </w:r>
      <w:r/>
    </w:p>
    <w:p>
      <w:pPr>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1、根据省财政厅《关</w:t>
      </w:r>
      <w:r>
        <w:rPr>
          <w:rFonts w:ascii="宋体" w:hAnsi="宋体" w:cs="宋体"/>
          <w:color w:val="000000" w:themeColor="text1"/>
          <w:sz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领取CA和办理电子签章（请至</w:t>
      </w:r>
      <w:r>
        <w:rPr>
          <w:rFonts w:hint="eastAsia" w:ascii="宋体" w:hAnsi="宋体" w:cs="宋体"/>
          <w:color w:val="000000" w:themeColor="text1"/>
          <w:sz w:val="21"/>
        </w:rPr>
        <w:t xml:space="preserve">当地</w:t>
      </w:r>
      <w:r>
        <w:rPr>
          <w:rFonts w:ascii="宋体" w:hAnsi="宋体" w:cs="宋体"/>
          <w:color w:val="000000" w:themeColor="text1"/>
          <w:sz w:val="21"/>
        </w:rPr>
        <w:t xml:space="preserve">公共资源交易中心办理，具体联系方式见《苏采云系统供应商操作手册》（以下简称《操作手册》））、进行注册并按《操作手册》要求制作、上传电子响应文件。</w:t>
      </w:r>
      <w:r/>
    </w:p>
    <w:p>
      <w:pPr>
        <w:ind w:firstLine="422"/>
        <w:jc w:val="both"/>
        <w:spacing w:after="0" w:line="360" w:lineRule="auto"/>
        <w:rPr>
          <w:iCs/>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iCs/>
          <w:color w:val="000000" w:themeColor="text1"/>
          <w:sz w:val="21"/>
          <w:u w:val="single"/>
        </w:rPr>
        <w:t xml:space="preserve">2、特别提醒：各供应商需在响应文件提交截止时间之前安排人员携带委托文件及相关样品到达现场（泰州瑞恒项目管理有限公司开标室，地址：泰州市海陵区铁塔路20号）并配合专家的评审工作，如未提供样品则评分标准中相应部分不得分。具体样品参数详见采购文件正文！</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3、有关本次磋商的事项若存在变动或修改，敬请及时关注泰州瑞恒项目管理有限公司在“江苏政府采购网”发布的更正公告。</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4、本次磋商不收取投标保证金</w:t>
      </w:r>
      <w:r/>
    </w:p>
    <w:p>
      <w:pPr>
        <w:pStyle w:val="805"/>
        <w:ind w:firstLine="422"/>
        <w:jc w:val="both"/>
        <w:spacing w:before="0"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八、凡对本次采购提出询问，请按以下方式联系。</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1.采购人信息</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名    称：泰州市中医院</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地    址：</w:t>
      </w:r>
      <w:r>
        <w:rPr>
          <w:rFonts w:hint="eastAsia" w:ascii="宋体" w:hAnsi="宋体" w:cs="宋体"/>
          <w:color w:val="000000" w:themeColor="text1"/>
          <w:sz w:val="21"/>
        </w:rPr>
        <w:t xml:space="preserve">泰州市中医院济川东路86号</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联系方式：陈先生 052386611399</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2.采购代理机构信息</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名    称：泰州瑞恒项目管理有限公司         </w:t>
      </w:r>
      <w:r/>
    </w:p>
    <w:p>
      <w:pPr>
        <w:ind w:firstLine="420"/>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地    址：泰州市海陵区铁塔路20号南101室           </w:t>
      </w:r>
      <w:r/>
    </w:p>
    <w:p>
      <w:pPr>
        <w:ind w:firstLine="420"/>
        <w:jc w:val="both"/>
        <w:spacing w:after="0" w:line="36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联系方式：申先生 0523-89998558</w:t>
      </w:r>
      <w:r>
        <w:rPr>
          <w:rFonts w:hint="eastAsia" w:ascii="宋体" w:hAnsi="宋体" w:cs="宋体"/>
          <w:color w:val="000000" w:themeColor="text1"/>
          <w:sz w:val="21"/>
        </w:rPr>
        <w:t xml:space="preserve">、17768712139</w:t>
      </w:r>
      <w:r>
        <w:rPr>
          <w:color w:val="000000" w:themeColor="text1"/>
        </w:rPr>
        <w:br w:type="page" w:clear="all"/>
      </w:r>
      <w:r/>
    </w:p>
    <w:p>
      <w:pPr>
        <w:jc w:val="center"/>
        <w:spacing w:after="0"/>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第二章  参加磋商供应商须知</w:t>
      </w:r>
      <w:r/>
    </w:p>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（参加竞争性磋商的供应商以下简称</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磋商供应商</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w:t>
      </w:r>
      <w:r/>
    </w:p>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供应商须知前附表</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6"/>
        <w:gridCol w:w="8659"/>
      </w:tblGrid>
      <w:tr>
        <w:trPr>
          <w:trHeight w:val="55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内容</w:t>
            </w:r>
            <w:r/>
          </w:p>
        </w:tc>
      </w:tr>
      <w:tr>
        <w:trPr>
          <w:trHeight w:val="76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项目名称：泰州市中医院药用包装材料采购及配送项目</w:t>
            </w:r>
            <w:r/>
          </w:p>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项目编号：</w:t>
            </w:r>
            <w:r>
              <w:rPr>
                <w:rFonts w:cs="宋体" w:asciiTheme="minorEastAsia" w:hAnsiTheme="minorEastAsia" w:eastAsiaTheme="minorEastAsia"/>
                <w:color w:val="000000" w:themeColor="text1"/>
                <w:sz w:val="21"/>
              </w:rPr>
              <w:t xml:space="preserve">JSZC-321200-RHGS-C2025-0058</w:t>
            </w:r>
            <w:r>
              <w:rPr>
                <w:rFonts w:cs="宋体" w:asciiTheme="minorEastAsia" w:hAnsiTheme="minorEastAsia" w:eastAsiaTheme="minorEastAsia"/>
                <w:color w:val="000000" w:themeColor="text1"/>
                <w:sz w:val="21"/>
              </w:rPr>
              <w:t xml:space="preserve"> </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right="102"/>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采购机构：泰州市中医院</w:t>
            </w:r>
            <w:r/>
          </w:p>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采购代理机构：泰州瑞恒项目管理有限公司（以下简称代理机构）</w:t>
            </w:r>
            <w:r/>
          </w:p>
        </w:tc>
      </w:tr>
      <w:tr>
        <w:trPr>
          <w:trHeight w:val="58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right="102"/>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采购文件发放：</w:t>
            </w:r>
            <w:r>
              <w:rPr>
                <w:rFonts w:hint="eastAsia" w:cs="宋体" w:asciiTheme="minorEastAsia" w:hAnsiTheme="minorEastAsia" w:eastAsiaTheme="minorEastAsia"/>
                <w:color w:val="000000" w:themeColor="text1"/>
                <w:sz w:val="21"/>
              </w:rPr>
              <w:t xml:space="preserve">自磋商文件公告发布之日起5个工作日</w:t>
            </w:r>
            <w:r/>
          </w:p>
        </w:tc>
      </w:tr>
      <w:tr>
        <w:trPr>
          <w:trHeight w:val="4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firstLine="210"/>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本项目采购预</w:t>
            </w:r>
            <w:r>
              <w:rPr>
                <w:rFonts w:cs="宋体" w:asciiTheme="minorEastAsia" w:hAnsiTheme="minorEastAsia" w:eastAsiaTheme="minorEastAsia"/>
                <w:color w:val="000000" w:themeColor="text1"/>
                <w:sz w:val="21"/>
              </w:rPr>
              <w:t xml:space="preserve">算</w:t>
            </w:r>
            <w:r>
              <w:rPr>
                <w:rFonts w:hint="eastAsia" w:cs="宋体" w:asciiTheme="minorEastAsia" w:hAnsiTheme="minorEastAsia" w:eastAsiaTheme="minorEastAsia"/>
                <w:color w:val="000000" w:themeColor="text1"/>
                <w:sz w:val="21"/>
              </w:rPr>
              <w:t xml:space="preserve">：134.7028万元</w:t>
            </w:r>
            <w:r/>
          </w:p>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最高限价：</w:t>
            </w:r>
            <w:r>
              <w:rPr>
                <w:rFonts w:hint="eastAsia" w:ascii="宋体" w:hAnsi="宋体" w:cs="宋体"/>
                <w:color w:val="000000" w:themeColor="text1"/>
                <w:sz w:val="21"/>
              </w:rPr>
              <w:t xml:space="preserve">94.838万元</w:t>
            </w:r>
            <w:r/>
          </w:p>
        </w:tc>
      </w:tr>
      <w:tr>
        <w:trPr>
          <w:trHeight w:val="53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投标有效期：开标后九十</w:t>
            </w:r>
            <w:r>
              <w:rPr>
                <w:rFonts w:cs="宋体" w:asciiTheme="minorEastAsia" w:hAnsiTheme="minorEastAsia" w:eastAsiaTheme="minorEastAsia"/>
                <w:b/>
                <w:color w:val="000000" w:themeColor="text1"/>
                <w:sz w:val="21"/>
              </w:rPr>
              <w:t xml:space="preserve">(90)</w:t>
            </w:r>
            <w:r>
              <w:rPr>
                <w:rFonts w:cs="宋体" w:asciiTheme="minorEastAsia" w:hAnsiTheme="minorEastAsia" w:eastAsiaTheme="minorEastAsia"/>
                <w:color w:val="000000" w:themeColor="text1"/>
                <w:sz w:val="21"/>
              </w:rPr>
              <w:t xml:space="preserve">天</w:t>
            </w:r>
            <w:r/>
          </w:p>
        </w:tc>
      </w:tr>
      <w:tr>
        <w:trPr>
          <w:trHeight w:val="42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签订合同地点：由采购人指定</w:t>
            </w:r>
            <w:r/>
          </w:p>
        </w:tc>
      </w:tr>
      <w:tr>
        <w:trPr>
          <w:trHeight w:val="16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t xml:space="preserve">1、本项目履约保证金为成交</w:t>
            </w:r>
            <w:r>
              <w:rPr>
                <w:rFonts w:hint="eastAsia" w:ascii="宋体" w:hAnsi="宋体" w:cs="宋体"/>
                <w:color w:val="000000" w:themeColor="text1"/>
                <w:szCs w:val="21"/>
              </w:rPr>
              <w:t xml:space="preserve">总</w:t>
            </w:r>
            <w:r>
              <w:rPr>
                <w:rFonts w:hint="eastAsia" w:ascii="宋体" w:hAnsi="宋体" w:cs="宋体"/>
                <w:color w:val="000000" w:themeColor="text1"/>
                <w:szCs w:val="21"/>
                <w:lang w:val="zh-CN"/>
              </w:rPr>
              <w:t xml:space="preserve">价的10%。供应商自主选择以电汇、转账、支票、汇票、本票（限泰州同城）或者金融机构、担保机构出具的保函、保险公司出具的保证保险等形式缴纳或提交。</w:t>
            </w:r>
            <w:r/>
          </w:p>
          <w:p>
            <w:pPr>
              <w:spacing w:after="0" w:line="360" w:lineRule="auto"/>
              <w:rPr>
                <w:rFonts w:hint="eastAsia" w:asciiTheme="minorEastAsia" w:hAnsi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lang w:val="zh-CN"/>
              </w:rPr>
              <w:t xml:space="preserve">2、履约保证金在</w:t>
            </w:r>
            <w:r>
              <w:rPr>
                <w:rFonts w:hint="eastAsia" w:ascii="宋体" w:hAnsi="宋体" w:cs="宋体"/>
                <w:color w:val="000000" w:themeColor="text1"/>
                <w:szCs w:val="21"/>
                <w:lang w:val="zh-CN"/>
              </w:rPr>
              <w:t xml:space="preserve">签订合同前一次性足额缴纳</w:t>
            </w:r>
            <w:r>
              <w:rPr>
                <w:rFonts w:hint="eastAsia" w:ascii="宋体" w:hAnsi="宋体" w:cs="宋体"/>
                <w:color w:val="000000" w:themeColor="text1"/>
                <w:szCs w:val="21"/>
                <w:lang w:val="zh-CN"/>
              </w:rPr>
              <w:t xml:space="preserve">，服务期</w:t>
            </w:r>
            <w:r>
              <w:rPr>
                <w:rFonts w:hint="eastAsia" w:ascii="宋体" w:hAnsi="宋体" w:cs="宋体"/>
                <w:color w:val="000000" w:themeColor="text1"/>
                <w:szCs w:val="21"/>
                <w:lang w:val="zh-CN"/>
              </w:rPr>
              <w:t xml:space="preserve">内</w:t>
            </w:r>
            <w:r>
              <w:rPr>
                <w:rFonts w:hint="eastAsia" w:ascii="宋体" w:hAnsi="宋体" w:cs="宋体"/>
                <w:color w:val="000000" w:themeColor="text1"/>
                <w:szCs w:val="21"/>
                <w:lang w:val="zh-CN"/>
              </w:rPr>
              <w:t xml:space="preserve">如无违约问题，</w:t>
            </w:r>
            <w:r>
              <w:rPr>
                <w:rFonts w:hint="eastAsia" w:ascii="宋体" w:hAnsi="宋体" w:cs="宋体"/>
                <w:color w:val="000000" w:themeColor="text1"/>
                <w:szCs w:val="21"/>
                <w:lang w:val="zh-CN"/>
              </w:rPr>
              <w:t xml:space="preserve">服务期满后</w:t>
            </w:r>
            <w:r>
              <w:rPr>
                <w:rFonts w:hint="eastAsia" w:ascii="宋体" w:hAnsi="宋体" w:cs="宋体"/>
                <w:color w:val="000000" w:themeColor="text1"/>
                <w:szCs w:val="21"/>
                <w:lang w:val="zh-CN"/>
              </w:rPr>
              <w:t xml:space="preserve">甲方将无息退还乙方履约保证金</w:t>
            </w:r>
            <w:r>
              <w:rPr>
                <w:rFonts w:ascii="宋体" w:hAnsi="宋体" w:cs="宋体"/>
                <w:color w:val="000000" w:themeColor="text1"/>
                <w:szCs w:val="21"/>
                <w:lang w:val="zh-CN"/>
              </w:rPr>
              <w:t xml:space="preserve">。</w:t>
            </w:r>
            <w:r/>
          </w:p>
        </w:tc>
      </w:tr>
      <w:tr>
        <w:trPr>
          <w:trHeight w:val="6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采购代理费按照发改价格[2011]534号文的48.5%计取，保底壹仟伍佰元整（由成交供应商支付，不含税）费用结算基数，按成交金额为基数。</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pacing w:before="120" w:after="12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9" w:type="dxa"/>
            <w:vAlign w:val="center"/>
            <w:textDirection w:val="lrTb"/>
            <w:noWrap w:val="false"/>
          </w:tcPr>
          <w:p>
            <w:pPr>
              <w:spacing w:before="120" w:after="12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不管磋商结果如何，磋商供应商均应自行承担磋商所需一切费用。</w:t>
            </w:r>
            <w:r/>
          </w:p>
        </w:tc>
      </w:tr>
    </w:tbl>
    <w:p>
      <w:pPr>
        <w:pStyle w:val="879"/>
        <w:numPr>
          <w:ilvl w:val="0"/>
          <w:numId w:val="5"/>
        </w:numPr>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总则</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1</w:t>
      </w:r>
      <w:r>
        <w:rPr>
          <w:rFonts w:cs="宋体" w:asciiTheme="minorEastAsia" w:hAnsiTheme="minorEastAsia" w:eastAsiaTheme="minorEastAsia"/>
          <w:color w:val="000000" w:themeColor="text1"/>
          <w:sz w:val="21"/>
        </w:rPr>
        <w:t xml:space="preserve">、适用范围</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本竞争性磋商文件仅适用于竞争性磋商公告中所叙述项目的相关服务采购。</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2</w:t>
      </w:r>
      <w:r>
        <w:rPr>
          <w:rFonts w:cs="宋体" w:asciiTheme="minorEastAsia" w:hAnsiTheme="minorEastAsia" w:eastAsiaTheme="minorEastAsia"/>
          <w:color w:val="000000" w:themeColor="text1"/>
          <w:sz w:val="21"/>
        </w:rPr>
        <w:t xml:space="preserve">、项目采购方式</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本次采购采取竞争性磋商的方式。</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3</w:t>
      </w:r>
      <w:r>
        <w:rPr>
          <w:rFonts w:cs="宋体" w:asciiTheme="minorEastAsia" w:hAnsiTheme="minorEastAsia" w:eastAsiaTheme="minorEastAsia"/>
          <w:color w:val="000000" w:themeColor="text1"/>
          <w:sz w:val="21"/>
        </w:rPr>
        <w:t xml:space="preserve">、合格的磋商供应商</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3.1</w:t>
      </w:r>
      <w:r>
        <w:rPr>
          <w:rFonts w:cs="宋体" w:asciiTheme="minorEastAsia" w:hAnsiTheme="minorEastAsia" w:eastAsiaTheme="minorEastAsia"/>
          <w:color w:val="000000" w:themeColor="text1"/>
          <w:sz w:val="21"/>
        </w:rPr>
        <w:t xml:space="preserve">满足本磋商文件</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竞争性磋商公告</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中合格磋商供应商资格要求的规定。</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3.2</w:t>
      </w:r>
      <w:r>
        <w:rPr>
          <w:rFonts w:cs="宋体" w:asciiTheme="minorEastAsia" w:hAnsiTheme="minorEastAsia" w:eastAsiaTheme="minorEastAsia"/>
          <w:color w:val="000000" w:themeColor="text1"/>
          <w:sz w:val="21"/>
        </w:rPr>
        <w:t xml:space="preserve">满足本磋商文件其他实质性要求和条件的规定。</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、参加磋商费用</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4.1</w:t>
      </w:r>
      <w:r>
        <w:rPr>
          <w:rFonts w:cs="宋体" w:asciiTheme="minorEastAsia" w:hAnsiTheme="minorEastAsia" w:eastAsiaTheme="minorEastAsia"/>
          <w:color w:val="000000" w:themeColor="text1"/>
          <w:sz w:val="21"/>
        </w:rPr>
        <w:t xml:space="preserve">参加磋商供应商应自行承担所有与参加磋商有关的费用。不论最终的成交结果如何，采购人或代理机构在任何情况下均无义务和责任承担这些费用。</w:t>
      </w:r>
      <w:r/>
    </w:p>
    <w:p>
      <w:pPr>
        <w:ind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5</w:t>
      </w:r>
      <w:r>
        <w:rPr>
          <w:rFonts w:cs="宋体" w:asciiTheme="minorEastAsia" w:hAnsiTheme="minorEastAsia" w:eastAsiaTheme="minorEastAsia"/>
          <w:color w:val="000000" w:themeColor="text1"/>
          <w:sz w:val="21"/>
        </w:rPr>
        <w:t xml:space="preserve">、磋商文件的约束力</w:t>
      </w:r>
      <w:r/>
    </w:p>
    <w:p>
      <w:pPr>
        <w:ind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6、</w:t>
      </w:r>
      <w:r>
        <w:rPr>
          <w:rFonts w:cs="宋体" w:asciiTheme="minorEastAsia" w:hAnsiTheme="minorEastAsia" w:eastAsiaTheme="minorEastAsia"/>
          <w:color w:val="000000" w:themeColor="text1"/>
          <w:sz w:val="21"/>
        </w:rPr>
        <w:t xml:space="preserve">磋商文件的澄清及修改</w:t>
      </w:r>
      <w:r/>
    </w:p>
    <w:p>
      <w:pPr>
        <w:ind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二、磋商响应文件的编制</w:t>
      </w:r>
      <w:r/>
    </w:p>
    <w:p>
      <w:pPr>
        <w:ind w:firstLine="523"/>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1</w:t>
      </w:r>
      <w:r>
        <w:rPr>
          <w:rFonts w:cs="宋体" w:asciiTheme="minorEastAsia" w:hAnsiTheme="minorEastAsia" w:eastAsiaTheme="minorEastAsia"/>
          <w:color w:val="000000" w:themeColor="text1"/>
          <w:sz w:val="21"/>
        </w:rPr>
        <w:t xml:space="preserve">、响应文件编制要求</w:t>
      </w:r>
      <w:r/>
    </w:p>
    <w:p>
      <w:pPr>
        <w:ind w:left="120" w:firstLine="418"/>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1.1</w:t>
      </w:r>
      <w:r>
        <w:rPr>
          <w:rFonts w:cs="宋体" w:asciiTheme="minorEastAsia" w:hAnsiTheme="minorEastAsia" w:eastAsiaTheme="minorEastAsia"/>
          <w:color w:val="000000" w:themeColor="text1"/>
          <w:sz w:val="21"/>
        </w:rPr>
        <w:t xml:space="preserve">磋商供应商提交的响应文件以及其与代理机构及采购人就有关磋商的所有来往函电均应使用简体中文</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规格、型号辅助符号例外</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w:t>
      </w:r>
      <w:r/>
    </w:p>
    <w:p>
      <w:pPr>
        <w:ind w:left="120" w:firstLine="418"/>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1.2</w:t>
      </w:r>
      <w:r>
        <w:rPr>
          <w:rFonts w:cs="宋体" w:asciiTheme="minorEastAsia" w:hAnsiTheme="minorEastAsia" w:eastAsiaTheme="minorEastAsia"/>
          <w:color w:val="000000" w:themeColor="text1"/>
          <w:sz w:val="21"/>
        </w:rPr>
        <w:t xml:space="preserve">除技术性能另有规定外，响应文件所使用的度量衡单位，均须采用国家法定计量单位。</w:t>
      </w:r>
      <w:r/>
    </w:p>
    <w:p>
      <w:pPr>
        <w:ind w:firstLine="523"/>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000000" w:themeColor="text1"/>
          <w:sz w:val="21"/>
        </w:rPr>
        <w:t xml:space="preserve">1.3</w:t>
      </w:r>
      <w:r>
        <w:rPr>
          <w:rFonts w:cs="宋体" w:asciiTheme="minorEastAsia" w:hAnsiTheme="minorEastAsia" w:eastAsiaTheme="minorEastAsia"/>
          <w:color w:val="000000" w:themeColor="text1"/>
          <w:sz w:val="21"/>
        </w:rPr>
        <w:t xml:space="preserve">响应文件构成</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供应商应认真阅读和理解磋商文件，响应文件由供应商按要求参考给定格式如实填写</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编写</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，须有供应商</w:t>
      </w:r>
      <w:r>
        <w:rPr>
          <w:rFonts w:asciiTheme="minorEastAsia" w:hAnsiTheme="minorEastAsia" w:eastAsiaTheme="minorEastAsia"/>
          <w:color w:val="000000" w:themeColor="text1"/>
          <w:sz w:val="21"/>
        </w:rPr>
        <w:t xml:space="preserve">(</w:t>
      </w:r>
      <w:r>
        <w:rPr>
          <w:rFonts w:cs="宋体" w:asciiTheme="minorEastAsia" w:hAnsiTheme="minorEastAsia" w:eastAsiaTheme="minorEastAsia"/>
          <w:color w:val="000000" w:themeColor="text1"/>
          <w:sz w:val="21"/>
        </w:rPr>
        <w:t xml:space="preserve">盖章）、法定代表人或法定代表人授权代表签字或盖章，方为有效，未尽事宜可自行补充。且须保证所提供资料的真实性。</w:t>
      </w:r>
      <w:r/>
    </w:p>
    <w:p>
      <w:pPr>
        <w:ind w:firstLine="422"/>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i/>
          <w:color w:val="000000" w:themeColor="text1"/>
          <w:sz w:val="21"/>
        </w:rPr>
        <w:t xml:space="preserve">磋商供应商编写的响应文件应包括下列部分：</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1.3.1响应函、报价一览表、报价明细表、第二轮磋商报价表(格式见附件)；</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1.3.2法定代表人身份证明或法定代表人授权委托书(格式见附件)；</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1.3.3资格证明文件：</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(1)供应商营业执照(复印件加盖公章)；</w:t>
      </w:r>
      <w:r/>
    </w:p>
    <w:p>
      <w:pPr>
        <w:ind w:firstLine="420"/>
        <w:jc w:val="both"/>
        <w:spacing w:after="0" w:line="360" w:lineRule="auto"/>
        <w:rPr>
          <w:rFonts w:hint="eastAsia" w:asciiTheme="minorEastAsia" w:hAnsiTheme="minorEastAsia" w:eastAsiaTheme="minorEastAsia"/>
          <w:b/>
          <w:bCs/>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w:t>
      </w:r>
      <w:r>
        <w:rPr>
          <w:rFonts w:hint="eastAsia" w:cs="宋体" w:asciiTheme="minorEastAsia" w:hAnsiTheme="minorEastAsia" w:eastAsiaTheme="minorEastAsia"/>
          <w:b/>
          <w:bCs/>
          <w:color w:val="000000" w:themeColor="text1"/>
          <w:sz w:val="21"/>
        </w:rPr>
        <w:t xml:space="preserve">药包材生产厂家应在国家药品监督管理局药品审评中心药包材登记数据库可查询，且与制剂共同审评审批结果为A</w:t>
      </w:r>
      <w:r>
        <w:rPr>
          <w:rFonts w:cs="宋体" w:asciiTheme="minorEastAsia" w:hAnsiTheme="minorEastAsia" w:eastAsiaTheme="minorEastAsia"/>
          <w:b/>
          <w:bCs/>
          <w:color w:val="000000" w:themeColor="text1"/>
          <w:sz w:val="21"/>
        </w:rPr>
        <w:t xml:space="preserve">的截图加盖供应商公章；</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供应商近三个月中任意一个月份(不含磋商当月)的财务状况报告(资产负债表和利润表)或由会计师事务所出具的近两年中任意一个年度的审计报告和所附己审财务报告复印件，其他组织、自然人及成立未满一年的法人应提供银行出具的资信证明；</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(4)供应商近三个月中任意一个月份(不含磋商当月)的依法缴纳税收的相关材料(提供相关主管部门证明或银行代扣证明)复印件(依法免税的供应商，应供其依法免税的证明材料)；</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(5)供应商近三个月中任意一个月份(不含磋商当月)的依法缴纳社会保障资金的相关材料(提供相关主管部门证明或银行代扣证明)复印件；</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(6)参加政府采购活动前3年内在经营活动中没有重大违法记录的书面声明；</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(7)具备履行合同所必需的设备和专业技术能力的书面声明；</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(8)</w:t>
      </w:r>
      <w:r>
        <w:rPr>
          <w:rFonts w:cs="宋体" w:asciiTheme="minorEastAsia" w:hAnsiTheme="minorEastAsia" w:eastAsiaTheme="minorEastAsia"/>
          <w:b/>
          <w:color w:val="000000" w:themeColor="text1"/>
          <w:sz w:val="21"/>
        </w:rPr>
        <w:t xml:space="preserve">中小企业声明函或残疾人福利性单位声明函或监狱企业的证明资料</w:t>
      </w:r>
      <w:r>
        <w:rPr>
          <w:rFonts w:cs="宋体" w:asciiTheme="minorEastAsia" w:hAnsiTheme="minorEastAsia" w:eastAsiaTheme="minorEastAsia"/>
          <w:color w:val="000000" w:themeColor="text1"/>
          <w:sz w:val="21"/>
        </w:rPr>
        <w:t xml:space="preserve">。</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1.3.4承诺书(格式见附件)；</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1.3.5商务及技术条款偏离表；</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1.3.6评标办法中加分项证明材料(含供货方案、售后服务等)；</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1.3.7供应商认为需提交的其他证明材料（如有)。</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备注:</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资格(资质)证明文件如遇年检、换证，则必须提供法定年检、换证单位出具的有效证明复印件。如资格(资质)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(2)响应文件应按照“响应文件的组成”顺序制作成册，并编制响应文件资料目录。</w:t>
      </w:r>
      <w:r>
        <w:rPr>
          <w:rFonts w:cs="宋体" w:asciiTheme="minorEastAsia" w:hAnsiTheme="minorEastAsia" w:eastAsiaTheme="minorEastAsia"/>
          <w:b/>
          <w:color w:val="000000" w:themeColor="text1"/>
          <w:sz w:val="21"/>
          <w:u w:val="single"/>
        </w:rPr>
        <w:t xml:space="preserve">未按上述要求提交响应文件的按无效响应文件处理。</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2、磋商响应报价表</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2.1磋商供应商应按照磋商文件规定格式填报磋商响应报价。每项产品或服务只允许有一个报价，任何有选择的报价将不予接受，磋商文件中另有规定的按规定执行。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2.2标的物</w:t>
      </w:r>
      <w:r/>
    </w:p>
    <w:p>
      <w:pPr>
        <w:ind w:firstLine="42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采购人需求的货物、服务等。</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2.3有关费用处理</w:t>
      </w:r>
      <w:r/>
    </w:p>
    <w:p>
      <w:pPr>
        <w:ind w:firstLine="21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（1）</w:t>
      </w:r>
      <w:r>
        <w:rPr>
          <w:rFonts w:cs="宋体" w:asciiTheme="minorEastAsia" w:hAnsiTheme="minorEastAsia" w:eastAsiaTheme="minorEastAsia"/>
          <w:color w:val="000000" w:themeColor="text1"/>
          <w:sz w:val="21"/>
        </w:rPr>
        <w:t xml:space="preserve">供应商报价是根据采购文件所确定的供货、服务范围内的全部工作和内容的价格体现，涵盖完成采购文件规定的工作所涉及到的一切费用。</w:t>
      </w:r>
      <w:r/>
    </w:p>
    <w:p>
      <w:pPr>
        <w:ind w:firstLine="21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（2）</w:t>
      </w:r>
      <w:r>
        <w:rPr>
          <w:rFonts w:cs="宋体" w:asciiTheme="minorEastAsia" w:hAnsiTheme="minorEastAsia" w:eastAsiaTheme="minorEastAsia"/>
          <w:color w:val="000000" w:themeColor="text1"/>
          <w:sz w:val="21"/>
        </w:rPr>
        <w:t xml:space="preserve">采购文件未列明，而供应商认为必需的费用也需列入报价。</w:t>
      </w:r>
      <w:r/>
    </w:p>
    <w:p>
      <w:pPr>
        <w:ind w:firstLine="21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（3）</w:t>
      </w:r>
      <w:r>
        <w:rPr>
          <w:rFonts w:cs="宋体" w:asciiTheme="minorEastAsia" w:hAnsiTheme="minorEastAsia" w:eastAsiaTheme="minorEastAsia"/>
          <w:color w:val="000000" w:themeColor="text1"/>
          <w:sz w:val="21"/>
        </w:rPr>
        <w:t xml:space="preserve">本报价必须充分考虑所有可能影响到报价的价格因素，一旦响应结束最终成交，合同期内价格未经采购人允许将不予调整。如发生漏、缺、少项，都将被认为是成交供应商的报价让利行为。</w:t>
      </w:r>
      <w:r/>
    </w:p>
    <w:p>
      <w:pPr>
        <w:ind w:firstLine="21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其它报价要求：本项目响应报价应包括为完成本项目发生的所有费用。</w:t>
      </w:r>
      <w:r/>
    </w:p>
    <w:p>
      <w:pPr>
        <w:ind w:firstLine="210"/>
        <w:jc w:val="both"/>
        <w:spacing w:after="0" w:line="360" w:lineRule="auto"/>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（5）</w:t>
      </w:r>
      <w:r>
        <w:rPr>
          <w:rFonts w:cs="宋体" w:asciiTheme="minorEastAsia" w:hAnsiTheme="minorEastAsia" w:eastAsiaTheme="minorEastAsia"/>
          <w:color w:val="000000" w:themeColor="text1"/>
          <w:sz w:val="21"/>
        </w:rPr>
        <w:t xml:space="preserve">采购文件未列明，而供应商认为履行本项目合同所必需的费用也需列入报价。</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2.4报价采用的货币</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响应文件中的单价和总价，无特殊规定的采用人民币报价，以元为单位标注。磋商文件中另有规定的按规定执行。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2.5磋商响应报价表上的价格应按磋商文件规定填写。</w:t>
      </w:r>
      <w:r/>
    </w:p>
    <w:p>
      <w:pPr>
        <w:ind w:firstLine="422"/>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三、响应文件的递交</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1、电子磋商响应文件的递交</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1.1供应商应当按照规定，在提交响应文件截止时间前制作并上传电子响应文件。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2.1提交响应文件截止时间</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供应商上传电子响应文件的时间不得迟于磋商公告中规定的提交响应文件截止时间。</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2、响应文件的拒收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2.1采购代理机构拒绝接收在其规定的提交响应文件截止时间后上传的任何电子响应文件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3、响应文件的撤回和修改电子响应文件的撤回</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3.1供应商可在提交响应文件截止时间前，撤回其电子响应文件。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3.2供应商撤回电子响应文件，则认为其不再参与本项目磋商活动</w:t>
      </w:r>
      <w:r/>
    </w:p>
    <w:p>
      <w:pPr>
        <w:ind w:firstLine="422"/>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四、响应文件的解密与评审</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1、响应文件解密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1.1供应商应当按照规定，在苏采云系统规定的时间内对磋商响应文件进行解密。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2、磋商小组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2.1采购代理机构将组织磋商小组对响应文件进行评审。磋商小组由采购人代表和有关技术、经济等方面的专家组成，且人员构成符合政府采购有关规定。</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2.2磋商小组独立工作，负责评审所有响应文件并确定成交候选人。</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3、评审过程的保密与公正</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3.1磋商小组、采购人和采购代理机构工作人员、相关监督人员等与评审工作有关的人员，对评审情况以及在评审过程中获悉的国家秘密、商业秘密负有保密责任。</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3.2在评审过程中，供应商不得以任何行为影响磋商评审过程，否则其响应文件将被作为无效响应文件。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3.3在项目评审期间，采购代理机构将设专门人员与供应商联系。</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3.4采购代理机构和磋商小组不向未成交的供应商解释未成交原因，也不公布评审过程中的相关细节。</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4、评审过程中的的澄清</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4.3 接到磋商小组澄清、说明和更正要求的供应商如未按规定做出澄清、说明和更正，其风险由供应商自行承担。</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5、对响应文件的审查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5.1响应文件审查分为资格审查和符合性审查。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5.1.1 资格审查：由磋商小组依据法律法规和磋商文件的规定，对响应文件中的资格证明文件进行审查，以确定供应商是否具备参加磋商的资格。</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磋商小组在进行资格审查的同时，将在“信用中国”网站（www.creditchina.gov.cn）查询供应商的信用记录，以确定供应商是否具备磋商资格。</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5.1.2符合性审查：依据磋商文件的规定，由磋商小组从响应文件的有效性、完整性和对磋商文件的响应程度进行审查，以确定是否对磋商文件的实质性要求作出响应。</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5.3未实质性响应磋商文件的情形</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5.3.1供应商在苏采云系统规定的时间内未成功解密电子响应文件的。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5.3.2供应商未按照磋商文件要求上传电子响应文件的。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5.3.3同一供应商提交两个（含两个）以上不同的响应文件或者最后报价的。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5.3.4供应商不具备磋商文件中规定资格要求的。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5.3.5供应商的最后报价超过了采购预算。</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5.3.6不符合磋商文件中规定的实质性要求和条件的。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5.3.7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5.3.8响应文件含有采购人不能接受的附加条件的。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5.3.9本项目采购产品属于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5.3.10响应文件未按照磋商文件要求加盖CA电子公章的。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5.4未实质性响应磋商文件的响应文件按无效响应处理。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5.5如果响应文件实质上没有响应磋商文件的要求，磋商小组将予以拒绝，供应商不得通过修改或撤销不合要求的偏离或保留而使其成为实质性响应的文件。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5.6供应商在项目评审全过程中应保持通讯畅通，并安排专人与采购代理机构及磋商小组联系。</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6、磋商程序及评审方法和评审标准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6.1磋商程序</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6.1.1对于通过资格审查和符合性审查的供应商，磋商小组将集中与单一供应商分别进行磋商。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6.1.2磋商文件能够详细列明采购标的的技术、服务要求的，磋商结束后，磋商小组将在苏采云系统要求所有实质性响应的供应商在规定时间内提交最后报价。</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6.2 评审方法和评审标准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6.2.1评审方法。经磋商确定最终采购需求和提交最后报价的供应商后，由磋商小组采用综合评分法对提交最后报价的供应商的响应文件和最后报价进行综合评分。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6.2.2评审标准</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见本磋商文件第五章规定。</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6.3异常低价的处理</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6.3.1按照《关于推动解决政府采购异常低价问题相关工作的通知》（苏财购〔2025〕62号）文件要求，评审过程中出现下列情形之一的，评审委员会应当启动异常低价投标（响应）审查程序：</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（1）投标（响应）报价低于采购项目预算50%的，即投标（响应）报价&lt;采购项目预算×50%；</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（2）投标（响应）报价低于采购项目最高限价45%的，即投标（响应）报价&lt;采购项目最高限价×45%；</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（3）评审委员会认定的供应商报价过低、有可能影响产品质量或者不能诚信履约的其他情形。</w:t>
      </w:r>
      <w:r/>
    </w:p>
    <w:p>
      <w:pPr>
        <w:ind w:left="120" w:firstLine="420"/>
        <w:jc w:val="both"/>
        <w:spacing w:after="0" w:line="360" w:lineRule="auto"/>
        <w:tabs>
          <w:tab w:val="left" w:pos="900" w:leader="none"/>
        </w:tabs>
        <w:rPr>
          <w:rFonts w:hint="eastAsia" w:cs="宋体" w:asciiTheme="minorEastAsia" w:hAnsiTheme="minorEastAsia" w:eastAsiaTheme="minorEastAsia"/>
          <w:color w:val="000000" w:themeColor="text1"/>
          <w:sz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1"/>
        </w:rPr>
        <w:t xml:space="preserve">6.3.2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采购活动终止的情况</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出现下列情形之一的，本次竞争性磋商采购活动将被终止：</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.1因情况变化，不再符合规定的竞争性磋商采购方式适用情形的。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.2出现影响采购公正的违法、违规行为的。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.3除本磋商文件第二章第7.1.2条第三款规定的情形外，在采购过程中符合要求的供应商或者最后报价未超过采购预算的供应商不足3家的。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6.</w:t>
      </w:r>
      <w:r>
        <w:rPr>
          <w:rFonts w:hint="eastAsia" w:cs="宋体" w:asciiTheme="minorEastAsia" w:hAnsiTheme="minorEastAsia" w:eastAsiaTheme="minorEastAsia"/>
          <w:color w:val="000000" w:themeColor="text1"/>
          <w:sz w:val="21"/>
        </w:rPr>
        <w:t xml:space="preserve">4</w:t>
      </w:r>
      <w:r>
        <w:rPr>
          <w:rFonts w:cs="宋体" w:asciiTheme="minorEastAsia" w:hAnsiTheme="minorEastAsia" w:eastAsiaTheme="minorEastAsia"/>
          <w:color w:val="000000" w:themeColor="text1"/>
          <w:sz w:val="21"/>
        </w:rPr>
        <w:t xml:space="preserve">.4在苏采云系统规定时间内成功解密电子响应文件的供应商不足3家的。</w:t>
      </w:r>
      <w:r/>
    </w:p>
    <w:p>
      <w:pPr>
        <w:ind w:firstLine="422"/>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五、成交</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1、确定成交单位</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1.2采购人从评审报告提出的成交候选供应商中，按照排序由高到低的原则确定成交供应商。采购人确定成交供应商后，采购代理机构将在“江苏政府采购网”发布成交结果公告，公告期限为1个工作日。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1.3若有充分证据证明，成交供应商出现下列情况之一的，一经查实，将被取消成交资格：</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1.3.1提供虚假材料谋取成交的。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1.3.2与评审专家、采购人、其他供应商或者采购代理机构工作人员恶意串通的。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1.3.3向评审专家、采购人或采购代理机构工作人员行贿或者提供其他不正当利益的。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1.3.5不满足本磋商文件规定的实质性要求，但在评审过程中又未被磋商小组发现的。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1.3.6成交后无正当理由拒不与采购人签订政府采购合同或者未按照磋商文件确定的事项签订政府采购合同的。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1.3.7将政府采购合同转包的。</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2、质疑处理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 提出质疑的供应商应当是参与所质疑项目采购活动的供应商。潜在供应商依法获取其可质疑的采购文件的，可以对采购文件提出质疑。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2.2.1对可以质疑的采购文件提出质疑的，为收到采购文件之日或者采购文件公告期限届满之日。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2.2.2对采购过程提出质疑的，为各采购程序环节结束之日。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2.2.3对成交结果提出质疑的，为成交结果公告期限届满之日。</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供应商（含潜在供应商）对与本项目有关的所有询问、质疑均请向采购人提出，由采购人负责答复。</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采购人及采购代理机构只接收以纸质原件形式送达的质疑。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采购人质疑接收人及联系方式见本磋商文件第一章。</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 以下情形的质疑不予受理</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2.5.1 内容不符合《政府采购质疑和投诉办法》第十二条规定的质疑。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2.5.2 超出政府采购法定期限的质疑。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2.5.3 以传真、电子邮件等方式递交的非原件形式的质疑。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2.5.4 未参加磋商活动的供应商或在磋商活动中自身权益未受到损害的供应商所提出的质疑。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2.5.5供应商组成联合体参加磋商，联合体中任何一方或多方未按要求签字、盖章、加盖公章的质疑。</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3、成交通知书</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3.2成交通知书将是合同的一个组成部分。对采购人和成交供应商均具有法律效力。</w:t>
      </w:r>
      <w:r>
        <w:rPr>
          <w:rFonts w:hint="eastAsia" w:cs="宋体" w:asciiTheme="minorEastAsia" w:hAnsiTheme="minorEastAsia" w:eastAsiaTheme="minorEastAsia"/>
          <w:color w:val="000000" w:themeColor="text1"/>
          <w:sz w:val="21"/>
        </w:rPr>
        <w:t xml:space="preserve">中标、成交通知书发出后，采购人改变中标、成交结果的，或者中标、成交供应商放弃中标、成交项目的，应当依法承担法律责任</w:t>
      </w:r>
      <w:r>
        <w:rPr>
          <w:rFonts w:cs="宋体" w:asciiTheme="minorEastAsia" w:hAnsiTheme="minorEastAsia" w:eastAsiaTheme="minorEastAsia"/>
          <w:color w:val="000000" w:themeColor="text1"/>
          <w:sz w:val="21"/>
        </w:rPr>
        <w:t xml:space="preserve">。</w:t>
      </w:r>
      <w:r/>
    </w:p>
    <w:p>
      <w:pPr>
        <w:ind w:left="120" w:firstLine="422"/>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 w:val="21"/>
        </w:rPr>
        <w:t xml:space="preserve">六、授予合同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1、签订合同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1.l成交供应商应当在成交通知书发出之日起三十日内，按照磋商文件确定的事项与采购人签订政府采购合同。</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1.2磋商文件、成交供应商的响应文件及磋商过程中有关澄清、承诺文件均应作为合同附件。</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2、标的物的追加</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2、政府采购履约资金扶持政策</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成交供应商可凭政府采购合同办理融资贷款，详情请见江苏政府采购网“政采贷”专栏。</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3、落实《商品包装政府采购需求标准（试行）》、《快递包装政府采购需求标准（试行）》的相关政策，商品包装和快递包装应符合文件要求。</w:t>
      </w:r>
      <w:r/>
    </w:p>
    <w:p>
      <w:pPr>
        <w:ind w:left="120" w:firstLine="420"/>
        <w:jc w:val="both"/>
        <w:spacing w:after="0" w:line="360" w:lineRule="auto"/>
        <w:tabs>
          <w:tab w:val="left" w:pos="900" w:leader="none"/>
        </w:tabs>
        <w:rPr>
          <w:rFonts w:hint="eastAsia"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4、按照《绿色数据中心政府采购需求标准(试行)》（财库[2023]7号）文件要求执行。</w:t>
      </w:r>
      <w:r/>
    </w:p>
    <w:p>
      <w:pPr>
        <w:ind w:left="120" w:firstLine="420"/>
        <w:jc w:val="both"/>
        <w:spacing w:after="0" w:line="360" w:lineRule="auto"/>
        <w:tabs>
          <w:tab w:val="left" w:pos="900" w:leader="none"/>
        </w:tabs>
        <w:rPr>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1"/>
        </w:rPr>
        <w:t xml:space="preserve">5、根据《商品包装政府采购需求标准（试行）》、《快递包装政府采购需求标准（试行）》的通知（财办库[2020]123号要求，商品使用的塑料、纸质、木材等包装需达到环保要求。</w:t>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pStyle w:val="805"/>
        <w:spacing w:before="0" w:after="0" w:line="85" w:lineRule="atLeast"/>
        <w:rPr>
          <w:rFonts w:hint="eastAsia" w:ascii="宋体" w:hAnsi="宋体" w:eastAsia="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第三章 </w:t>
      </w:r>
      <w:r>
        <w:rPr>
          <w:rFonts w:ascii="宋体" w:hAnsi="宋体" w:eastAsia="宋体" w:cs="宋体"/>
          <w:color w:val="000000" w:themeColor="text1"/>
          <w:sz w:val="21"/>
          <w:szCs w:val="21"/>
        </w:rPr>
        <w:t xml:space="preserve">合同条款及格式</w:t>
      </w:r>
      <w:r/>
    </w:p>
    <w:p>
      <w:pPr>
        <w:ind w:firstLine="420"/>
        <w:jc w:val="both"/>
        <w:spacing w:after="0" w:line="85" w:lineRule="atLeast"/>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项目名称：</w:t>
      </w:r>
      <w:r>
        <w:rPr>
          <w:rFonts w:ascii="宋体" w:hAnsi="宋体" w:cs="宋体"/>
          <w:color w:val="000000" w:themeColor="text1"/>
          <w:sz w:val="21"/>
          <w:szCs w:val="21"/>
          <w:u w:val="single"/>
        </w:rPr>
        <w:t xml:space="preserve">              </w:t>
      </w:r>
      <w:r>
        <w:rPr>
          <w:rFonts w:ascii="宋体" w:hAnsi="宋体" w:cs="宋体"/>
          <w:color w:val="000000" w:themeColor="text1"/>
          <w:sz w:val="21"/>
          <w:szCs w:val="21"/>
        </w:rPr>
        <w:t xml:space="preserve"> </w:t>
      </w:r>
      <w:r/>
    </w:p>
    <w:p>
      <w:pPr>
        <w:ind w:firstLine="420"/>
        <w:jc w:val="both"/>
        <w:spacing w:after="0" w:line="360" w:lineRule="auto"/>
        <w:rPr>
          <w:rFonts w:hint="eastAsia" w:ascii="宋体" w:hAnsi="宋体" w:cs="宋体"/>
          <w:color w:val="000000" w:themeColor="text1"/>
          <w:sz w:val="21"/>
          <w:szCs w:val="21"/>
          <w:u w:val="singl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项目编号：</w:t>
      </w:r>
      <w:r>
        <w:rPr>
          <w:rFonts w:ascii="宋体" w:hAnsi="宋体" w:cs="宋体"/>
          <w:color w:val="000000" w:themeColor="text1"/>
          <w:sz w:val="21"/>
          <w:szCs w:val="21"/>
          <w:u w:val="single"/>
        </w:rPr>
        <w:t xml:space="preserve">              </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甲方: 泰州市中医院  </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乙方:</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甲乙双方根据泰州市中医院药用包装材料采购及配送项目采购文件的要求,经协商一致,达成如下采购项目合同:</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一、</w:t>
      </w:r>
      <w:r>
        <w:rPr>
          <w:rFonts w:ascii="宋体" w:hAnsi="宋体" w:cs="宋体"/>
          <w:b/>
          <w:color w:val="000000" w:themeColor="text1"/>
          <w:sz w:val="21"/>
          <w:szCs w:val="21"/>
        </w:rPr>
        <w:t xml:space="preserve">采购标的</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1、项目名称：泰州市中医院药用包装材料采购及配送项目</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2、项目内容：参照采购文件的具体要求</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3、服务期：</w:t>
      </w:r>
      <w:r>
        <w:rPr>
          <w:rFonts w:hint="eastAsia" w:ascii="宋体" w:hAnsi="宋体" w:cs="宋体"/>
          <w:color w:val="000000" w:themeColor="text1"/>
          <w:sz w:val="21"/>
          <w:szCs w:val="21"/>
        </w:rPr>
        <w:t xml:space="preserve">1年供货期（含三个月试用期）</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4、补充条款： </w:t>
      </w:r>
      <w:r>
        <w:rPr>
          <w:rFonts w:ascii="宋体" w:hAnsi="宋体" w:cs="宋体"/>
          <w:color w:val="000000" w:themeColor="text1"/>
          <w:sz w:val="21"/>
          <w:szCs w:val="21"/>
          <w:u w:val="single"/>
        </w:rPr>
        <w:t xml:space="preserve">                   </w:t>
      </w:r>
      <w:r>
        <w:rPr>
          <w:rFonts w:ascii="宋体" w:hAnsi="宋体" w:cs="宋体"/>
          <w:color w:val="000000" w:themeColor="text1"/>
          <w:sz w:val="21"/>
          <w:szCs w:val="21"/>
        </w:rPr>
        <w:t xml:space="preserve">。</w:t>
      </w:r>
      <w:r/>
    </w:p>
    <w:p>
      <w:pPr>
        <w:ind w:firstLine="422"/>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二、合同价款</w:t>
      </w:r>
      <w:r>
        <w:rPr>
          <w:rFonts w:ascii="宋体" w:hAnsi="宋体" w:cs="宋体"/>
          <w:color w:val="000000" w:themeColor="text1"/>
          <w:sz w:val="21"/>
          <w:szCs w:val="21"/>
        </w:rPr>
        <w:t xml:space="preserve">：</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1、本合同总价款为人民币￥</w:t>
      </w:r>
      <w:r>
        <w:rPr>
          <w:rFonts w:ascii="宋体" w:hAnsi="宋体" w:cs="宋体"/>
          <w:color w:val="000000" w:themeColor="text1"/>
          <w:sz w:val="21"/>
          <w:szCs w:val="21"/>
          <w:u w:val="single"/>
        </w:rPr>
        <w:t xml:space="preserve">    </w:t>
      </w:r>
      <w:r>
        <w:rPr>
          <w:rFonts w:ascii="宋体" w:hAnsi="宋体" w:cs="宋体"/>
          <w:color w:val="000000" w:themeColor="text1"/>
          <w:sz w:val="21"/>
          <w:szCs w:val="21"/>
        </w:rPr>
        <w:t xml:space="preserve">元，大写：</w:t>
      </w:r>
      <w:r>
        <w:rPr>
          <w:rFonts w:ascii="宋体" w:hAnsi="宋体" w:cs="宋体"/>
          <w:color w:val="000000" w:themeColor="text1"/>
          <w:sz w:val="21"/>
          <w:szCs w:val="21"/>
          <w:u w:val="single"/>
        </w:rPr>
        <w:t xml:space="preserve">           </w:t>
      </w:r>
      <w:r>
        <w:rPr>
          <w:rFonts w:ascii="宋体" w:hAnsi="宋体" w:cs="宋体"/>
          <w:color w:val="000000" w:themeColor="text1"/>
          <w:sz w:val="21"/>
          <w:szCs w:val="21"/>
        </w:rPr>
        <w:t xml:space="preserve"> 元整。</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2、本合同价款包含所有乙方提供合同约定的项目内容的报酬及乙方提供该项目所支出的必要费用，甲方在上述合同价款之外不再向乙方支付其他任何费用。</w:t>
      </w:r>
      <w:r/>
    </w:p>
    <w:p>
      <w:pPr>
        <w:ind w:firstLine="422"/>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3、合同形式：</w:t>
      </w:r>
      <w:r>
        <w:rPr>
          <w:rFonts w:hint="eastAsia" w:ascii="宋体" w:hAnsi="宋体" w:cs="宋体"/>
          <w:color w:val="000000" w:themeColor="text1"/>
          <w:sz w:val="21"/>
          <w:szCs w:val="21"/>
        </w:rPr>
        <w:t xml:space="preserve">固定单价合同，实际结算价=成交单价*实际供货数量。在合同有效期内，单价固定不变，乙方不得以任何理由向上调整价格。合同履行中，甲方需追加与合同标的相同的货物的，在不改变合同其他条款的前提下，可以与乙方协商签订补充合同，但所有补充合同的采购金额不超过原合同金额10%</w:t>
      </w:r>
      <w:r>
        <w:rPr>
          <w:rFonts w:ascii="宋体" w:hAnsi="宋体" w:cs="宋体"/>
          <w:color w:val="000000" w:themeColor="text1"/>
          <w:sz w:val="21"/>
          <w:szCs w:val="21"/>
        </w:rPr>
        <w:t xml:space="preserve">。</w:t>
      </w:r>
      <w:r/>
    </w:p>
    <w:p>
      <w:pPr>
        <w:ind w:firstLine="422"/>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bookmarkStart w:id="2" w:name="OLE_LINK8"/>
      <w:r>
        <w:rPr>
          <w:rFonts w:hint="eastAsia" w:ascii="宋体" w:hAnsi="宋体" w:cs="宋体"/>
          <w:b/>
          <w:color w:val="000000" w:themeColor="text1"/>
          <w:sz w:val="21"/>
          <w:szCs w:val="21"/>
        </w:rPr>
        <w:t xml:space="preserve">三、技术要求：</w:t>
      </w:r>
      <w:r/>
    </w:p>
    <w:p>
      <w:pPr>
        <w:ind w:firstLine="422"/>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1、乙方提供的所有产品均应</w:t>
      </w:r>
      <w:r>
        <w:rPr>
          <w:rFonts w:ascii="宋体" w:hAnsi="宋体" w:cs="宋体"/>
          <w:color w:val="000000" w:themeColor="text1"/>
          <w:sz w:val="21"/>
          <w:szCs w:val="21"/>
        </w:rPr>
        <w:t xml:space="preserve">符合</w:t>
      </w:r>
      <w:r>
        <w:rPr>
          <w:rFonts w:hint="eastAsia" w:ascii="宋体" w:hAnsi="宋体" w:cs="宋体"/>
          <w:color w:val="000000" w:themeColor="text1"/>
          <w:sz w:val="21"/>
          <w:szCs w:val="21"/>
        </w:rPr>
        <w:t xml:space="preserve">相应的国家</w:t>
      </w:r>
      <w:r>
        <w:rPr>
          <w:rFonts w:ascii="宋体" w:hAnsi="宋体" w:cs="宋体"/>
          <w:color w:val="000000" w:themeColor="text1"/>
          <w:sz w:val="21"/>
          <w:szCs w:val="21"/>
        </w:rPr>
        <w:t xml:space="preserve">标准</w:t>
      </w:r>
      <w:r>
        <w:rPr>
          <w:rFonts w:hint="eastAsia" w:ascii="宋体" w:hAnsi="宋体" w:cs="宋体"/>
          <w:color w:val="000000" w:themeColor="text1"/>
          <w:sz w:val="21"/>
          <w:szCs w:val="21"/>
        </w:rPr>
        <w:t xml:space="preserve">或行业标准</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属于已批准在上市制剂使用的包材，并在国家药品监督管理局药品审评中心药包材登记数据库可查询，且与制剂共同审评审批结果为A，</w:t>
      </w:r>
      <w:r>
        <w:rPr>
          <w:rFonts w:ascii="宋体" w:hAnsi="宋体" w:cs="宋体"/>
          <w:color w:val="000000" w:themeColor="text1"/>
          <w:sz w:val="21"/>
          <w:szCs w:val="21"/>
        </w:rPr>
        <w:t xml:space="preserve">具有药包材注册证或药包材登记号，</w:t>
      </w:r>
      <w:r>
        <w:rPr>
          <w:rFonts w:hint="eastAsia" w:ascii="宋体" w:hAnsi="宋体" w:cs="宋体"/>
          <w:color w:val="000000" w:themeColor="text1"/>
          <w:sz w:val="21"/>
          <w:szCs w:val="21"/>
        </w:rPr>
        <w:t xml:space="preserve">所有产品可追根溯源。</w:t>
      </w:r>
      <w:r/>
    </w:p>
    <w:p>
      <w:pPr>
        <w:ind w:firstLine="422"/>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2、乙方供的产品的详尽参数标准不低于采购文件要求，为“合格品”，确保</w:t>
      </w:r>
      <w:r>
        <w:rPr>
          <w:rFonts w:hint="eastAsia" w:ascii="宋体" w:hAnsi="宋体" w:cs="宋体"/>
          <w:color w:val="000000" w:themeColor="text1"/>
          <w:szCs w:val="21"/>
        </w:rPr>
        <w:t xml:space="preserve">甲方</w:t>
      </w:r>
      <w:r>
        <w:rPr>
          <w:rFonts w:hint="eastAsia" w:ascii="宋体" w:hAnsi="宋体" w:cs="宋体"/>
          <w:color w:val="000000" w:themeColor="text1"/>
          <w:sz w:val="21"/>
          <w:szCs w:val="21"/>
        </w:rPr>
        <w:t xml:space="preserve">能正常使用。</w:t>
      </w:r>
      <w:r/>
    </w:p>
    <w:p>
      <w:pPr>
        <w:ind w:firstLine="422"/>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四、配送及服务要求： </w:t>
      </w:r>
      <w:r/>
    </w:p>
    <w:p>
      <w:pPr>
        <w:ind w:firstLine="422"/>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乙方每次供货必须接甲方采购部门签字确认的“下单记录”方可供货，其他部门或人员通知无效。无论甲方申请数量的多少，乙方都应能及时供货，满足甲方的需求。乙方在接到甲方通知后，应先无偿提供产品样品，经甲方确认后方可批量供应。因未经甲方确认就批量供应导致的一切后果由乙方自行承担。</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2、运输方式及费用：乙方负责运输并承担运费及安全责任，在供货途中发生的一切风险责任由乙方承担。</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3、乙方所供产品不得影响甲方生产使用，如因产品的质量等问题影响医院工作、造成损失或引发事故，由乙方负全部责任，并承担由此而引起的全部经济损失及责任。视情节严重，甲方有权扣除履约保证金并立即终止供货协议，同时按相关法律处理。</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4、乙方送货必须及时，乙方接到甲方供货通知后，必须在2天内将产品运至甲方指定的交货地点并按甲方的要求摆放整齐，紧急物资必须24小时内将产品运至甲方指定的交货地点。部分货品需要超时送达的,需提前通知甲方相关人员,经甲方同意后方可协商具体送货时间,否则按违约处理。具体按《服务考核表》执行。</w:t>
      </w:r>
      <w:r/>
    </w:p>
    <w:tbl>
      <w:tblPr>
        <w:tblW w:w="8379" w:type="dxa"/>
        <w:jc w:val="center"/>
        <w:tblLayout w:type="fixed"/>
        <w:tblLook w:val="04A0" w:firstRow="1" w:lastRow="0" w:firstColumn="1" w:lastColumn="0" w:noHBand="0" w:noVBand="1"/>
      </w:tblPr>
      <w:tblGrid>
        <w:gridCol w:w="2309"/>
        <w:gridCol w:w="4227"/>
        <w:gridCol w:w="1843"/>
      </w:tblGrid>
      <w:tr>
        <w:trPr>
          <w:jc w:val="center"/>
          <w:trHeight w:val="90"/>
        </w:trPr>
        <w:tc>
          <w:tcPr>
            <w:gridSpan w:val="3"/>
            <w:tcBorders>
              <w:top w:val="single" w:color="auto" w:sz="4" w:space="0"/>
              <w:left w:val="single" w:color="auto" w:sz="4" w:space="0"/>
              <w:bottom w:val="single" w:color="auto" w:sz="4" w:space="0"/>
              <w:right w:val="single" w:color="auto" w:sz="4" w:space="0"/>
            </w:tcBorders>
            <w:tcW w:w="8379" w:type="dxa"/>
            <w:vAlign w:val="center"/>
            <w:textDirection w:val="lrTb"/>
            <w:noWrap/>
          </w:tcPr>
          <w:p>
            <w:pPr>
              <w:jc w:val="cente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服务考核表</w:t>
            </w:r>
            <w:r/>
          </w:p>
        </w:tc>
      </w:tr>
      <w:tr>
        <w:trPr>
          <w:jc w:val="center"/>
          <w:trHeight w:val="448"/>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6070" w:type="dxa"/>
            <w:vAlign w:val="center"/>
            <w:textDirection w:val="lrTb"/>
            <w:noWrap/>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考核措施</w:t>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产品供货不及时</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逾期1—3天扣300元/天，</w:t>
            </w:r>
            <w:r>
              <w:rPr>
                <w:rFonts w:hint="eastAsia" w:ascii="宋体" w:hAnsi="宋体"/>
                <w:color w:val="000000" w:themeColor="text1"/>
                <w:sz w:val="21"/>
                <w:szCs w:val="21"/>
              </w:rPr>
              <w:br/>
              <w:t xml:space="preserve">逾期≥4天扣500元/天。</w:t>
            </w:r>
            <w:r/>
          </w:p>
          <w:p>
            <w:pPr>
              <w:pStyle w:val="819"/>
              <w:ind w:firstLine="0"/>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逾期达到10天的，甲方有权终止合同，和扣除全部履约保证金。</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乙方违约3次及以上，甲方有权终止合同</w:t>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供货服务不符合要求</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供货前未按甲方采购部门通知供货，扣500元/批次；供货时未按甲方指定的地点和要求摆放500元/批次。</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产品售后不及时</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视售后处理效率，未能主动对接处理并协商解决问题，每次扣1000元或以上。</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r>
      <w:tr>
        <w:trPr>
          <w:jc w:val="center"/>
          <w:trHeight w:val="623"/>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产品数量错误、产品名（品牌）/型号/规格错误</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首次警告，第二次扣500元。</w:t>
            </w:r>
            <w:r/>
          </w:p>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第三次扣1000元，并终止合同。</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r>
      <w:tr>
        <w:trPr>
          <w:jc w:val="center"/>
          <w:trHeight w:val="806"/>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spacing w:after="0"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产品质量不符合要求</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视情形严重，每批次扣2000元或以上，同时承担第三方检测机构的检测费用；甲方有权终止合同、并扣除全部履约保证金、追究其违约责任。</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spacing w:before="120" w:after="120" w:line="360" w:lineRule="auto"/>
              <w:rPr>
                <w:rFonts w:hint="eastAsia" w:ascii="宋体" w:hAnsi="宋体"/>
                <w:color w:val="000000" w:themeColor="text1"/>
                <w:sz w:val="21"/>
                <w:szCs w:val="21"/>
              </w:rPr>
            </w:pPr>
            <w:r>
              <w:rPr>
                <w:rFonts w:hint="eastAsia" w:ascii="宋体" w:hAnsi="宋体"/>
                <w:color w:val="000000" w:themeColor="text1"/>
                <w:sz w:val="21"/>
                <w:szCs w:val="21"/>
              </w:rPr>
            </w:r>
            <w:r/>
          </w:p>
        </w:tc>
      </w:tr>
    </w:tbl>
    <w:p>
      <w:pPr>
        <w:ind w:firstLine="420"/>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注：以上服务考核表由甲方考核打分，其考核结果对乙方具有约束力，甲方有权按照考核结果依据本合同相应条款对乙方进行处罚。</w:t>
      </w:r>
      <w:r/>
    </w:p>
    <w:p>
      <w:pPr>
        <w:ind w:firstLine="420"/>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五、验收标准：</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w:t>
      </w:r>
      <w:r>
        <w:rPr>
          <w:rFonts w:hint="eastAsia" w:ascii="宋体" w:hAnsi="宋体" w:cs="宋体"/>
          <w:color w:val="000000" w:themeColor="text1"/>
          <w:sz w:val="21"/>
          <w:szCs w:val="21"/>
        </w:rPr>
        <w:t xml:space="preserve">乙方提供的货物</w:t>
      </w:r>
      <w:r>
        <w:rPr>
          <w:rFonts w:hint="eastAsia" w:ascii="宋体" w:hAnsi="宋体" w:cs="宋体"/>
          <w:bCs/>
          <w:color w:val="000000" w:themeColor="text1"/>
          <w:sz w:val="21"/>
          <w:szCs w:val="21"/>
        </w:rPr>
        <w:t xml:space="preserve">必须符合我国最新颁布的与之相关的技术规范与标准（《中华人民共和国药典》、《中华人民共和国药品管理法》、《药品生产质量管理规范（2010年修订）》等），同时必须满足采购文件中所列全部规格、质量要求和乙方承诺的其它指标。乙方所供产品经甲方业务部门清点数量、核验品牌、检查质量、查验合格证，确认产品包装完整、验收合格后，双方在供货清单上签字确认。</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2、乙方供货前，甲方有权对乙方所供货物进行抽检并要求对方提供相应批次产品的质检报告，乙方需按甲方要求准备好相关产品和资料，验收合格后方可供货。当双方对验收结果有争议时，可委托双方一致认可的国家相关权威检测中心进行检测，费用由乙方承担，对检测不符合要求的产品将按文件相关要</w:t>
      </w:r>
      <w:r>
        <w:rPr>
          <w:rFonts w:hint="eastAsia" w:ascii="宋体" w:hAnsi="宋体" w:cs="宋体"/>
          <w:bCs/>
          <w:color w:val="000000" w:themeColor="text1"/>
          <w:sz w:val="21"/>
          <w:szCs w:val="21"/>
        </w:rPr>
        <w:t xml:space="preserve">求处理，并上报监管部门。</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3、甲方有权对乙方已配送的各类物品自行或者委托第三方检测机构进行检测，按国家有关标准，若检测不合格，对该批货物予以没收销毁，不必退还乙方，防止二次流通至社会市场，视情况严重性，甲方有权扣除乙方当次总货款的10％并直接单方解除相关合同，并不用对乙方做任何赔偿。</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4、乙方所供货物的规格、参数、质量、品牌、品种应与磋商时所承诺的产品一致，如实际供货时不符合要求或无合格证等相关资料时，导致验收不合格，甲方有权拒收，不合格产品作当场退回处理，因此造成的一切责任及损失由乙方自行负责，甲方有权扣除其履约保证金并追究其违约责任。同时甲方有权要求乙方提供符合甲方要求的产品，确保甲方使用，且成交价格不变，如乙方不能按要求执行，则甲方有权无条件终止合同并追究其责任，所造成的损失由乙方自行承担。</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5、乙方所配送产品发生质量问题三次以上的，甲方有权终止合同，同时扣除履约保证金，并按合同约定及法律规定追究乙方的违约责任。</w:t>
      </w:r>
      <w:r/>
    </w:p>
    <w:p>
      <w:pPr>
        <w:ind w:firstLine="420"/>
        <w:jc w:val="both"/>
        <w:spacing w:after="0" w:line="360" w:lineRule="auto"/>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六、</w:t>
      </w:r>
      <w:bookmarkEnd w:id="2"/>
      <w:r>
        <w:rPr>
          <w:rFonts w:ascii="宋体" w:hAnsi="宋体" w:cs="宋体"/>
          <w:b/>
          <w:color w:val="000000" w:themeColor="text1"/>
          <w:sz w:val="21"/>
          <w:szCs w:val="21"/>
        </w:rPr>
        <w:t xml:space="preserve">合同责任：</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1、甲方应当为乙方履行合同提供必要的支持。</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2、乙方保证其对为履行本合同交付的工作成果、使用的技术手段或提供的项目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3、乙方在履行合同中产生的一切非因甲方过错导致的损失，均由乙方自行承担责任。</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4、甲乙双方均应指定专人作为本合同履行期间双方之间的联络人，所有一方向相对方正式知会事项的通知到达相对方指定联络人即视为到达对方。</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甲方指定联络人：           乙方指定联络人：</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姓名：                    姓名： </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联系方式：                联系方式：</w:t>
      </w:r>
      <w:r/>
    </w:p>
    <w:p>
      <w:pPr>
        <w:ind w:firstLine="422"/>
        <w:jc w:val="both"/>
        <w:spacing w:after="0" w:line="360" w:lineRule="auto"/>
        <w:tabs>
          <w:tab w:val="left" w:pos="1980" w:leader="none"/>
        </w:tabs>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七</w:t>
      </w:r>
      <w:r>
        <w:rPr>
          <w:rFonts w:ascii="宋体" w:hAnsi="宋体" w:cs="宋体"/>
          <w:b/>
          <w:color w:val="000000" w:themeColor="text1"/>
          <w:sz w:val="21"/>
          <w:szCs w:val="21"/>
        </w:rPr>
        <w:t xml:space="preserve">、付款</w:t>
      </w:r>
      <w:r>
        <w:rPr>
          <w:rFonts w:ascii="宋体" w:hAnsi="宋体" w:cs="宋体"/>
          <w:color w:val="000000" w:themeColor="text1"/>
          <w:sz w:val="21"/>
          <w:szCs w:val="21"/>
        </w:rPr>
        <w:t xml:space="preserve">：</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付款方式：</w:t>
      </w:r>
      <w:r>
        <w:rPr>
          <w:rFonts w:hint="eastAsia" w:ascii="宋体" w:hAnsi="宋体" w:cs="宋体"/>
          <w:color w:val="000000" w:themeColor="text1"/>
          <w:sz w:val="21"/>
          <w:szCs w:val="21"/>
        </w:rPr>
        <w:t xml:space="preserve">分批次供货，按实际用量结算，每次供货产品经甲方验收合格后，乙方当月提供国家税务机构开具的合法发票并附甲方已确认过的供货清单，经甲方审批后支付货款，如乙方提供的发票为非国家税务机构开具的合法发票或其他责任原因而产生的任何后果，均由乙方全部承担。（以上均不计息）</w:t>
      </w:r>
      <w:r>
        <w:rPr>
          <w:rFonts w:ascii="宋体" w:hAnsi="宋体" w:cs="宋体"/>
          <w:color w:val="000000" w:themeColor="text1"/>
          <w:sz w:val="21"/>
          <w:szCs w:val="21"/>
        </w:rPr>
        <w:t xml:space="preserve">。</w:t>
      </w:r>
      <w:r/>
    </w:p>
    <w:p>
      <w:pPr>
        <w:ind w:firstLine="422"/>
        <w:jc w:val="both"/>
        <w:spacing w:after="0" w:line="360" w:lineRule="auto"/>
        <w:tabs>
          <w:tab w:val="left" w:pos="1980" w:leader="none"/>
        </w:tabs>
        <w:rPr>
          <w:rFonts w:hint="eastAsia" w:ascii="宋体" w:hAnsi="宋体" w:cs="宋体"/>
          <w:b/>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八、履约保证金：</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本项目乙方须缴纳给甲方履约保证金，履约保证金为成交总价的10%。履约保证金的有效期自提交之日起至服务期满为止，</w:t>
      </w:r>
      <w:r>
        <w:rPr>
          <w:rFonts w:hint="eastAsia" w:ascii="宋体" w:hAnsi="宋体" w:cs="宋体"/>
          <w:color w:val="000000" w:themeColor="text1"/>
          <w:szCs w:val="21"/>
          <w:lang w:val="zh-CN"/>
        </w:rPr>
        <w:t xml:space="preserve">服务期</w:t>
      </w:r>
      <w:r>
        <w:rPr>
          <w:rFonts w:hint="eastAsia" w:ascii="宋体" w:hAnsi="宋体" w:cs="宋体"/>
          <w:color w:val="000000" w:themeColor="text1"/>
          <w:szCs w:val="21"/>
        </w:rPr>
        <w:t xml:space="preserve">内</w:t>
      </w:r>
      <w:r>
        <w:rPr>
          <w:rFonts w:hint="eastAsia" w:ascii="宋体" w:hAnsi="宋体" w:cs="宋体"/>
          <w:color w:val="000000" w:themeColor="text1"/>
          <w:szCs w:val="21"/>
          <w:lang w:val="zh-CN"/>
        </w:rPr>
        <w:t xml:space="preserve">如</w:t>
      </w:r>
      <w:r>
        <w:rPr>
          <w:rFonts w:hint="eastAsia" w:ascii="宋体" w:hAnsi="宋体" w:cs="宋体"/>
          <w:color w:val="000000" w:themeColor="text1"/>
          <w:szCs w:val="21"/>
        </w:rPr>
        <w:t xml:space="preserve">乙方</w:t>
      </w:r>
      <w:r>
        <w:rPr>
          <w:rFonts w:hint="eastAsia" w:ascii="宋体" w:hAnsi="宋体" w:cs="宋体"/>
          <w:color w:val="000000" w:themeColor="text1"/>
          <w:szCs w:val="21"/>
          <w:lang w:val="zh-CN"/>
        </w:rPr>
        <w:t xml:space="preserve">无违约问题，服务期</w:t>
      </w:r>
      <w:r>
        <w:rPr>
          <w:rFonts w:hint="eastAsia" w:ascii="宋体" w:hAnsi="宋体" w:cs="宋体"/>
          <w:color w:val="000000" w:themeColor="text1"/>
          <w:szCs w:val="21"/>
        </w:rPr>
        <w:t xml:space="preserve">满后</w:t>
      </w:r>
      <w:r>
        <w:rPr>
          <w:rFonts w:hint="eastAsia" w:ascii="宋体" w:hAnsi="宋体" w:cs="宋体"/>
          <w:color w:val="000000" w:themeColor="text1"/>
          <w:szCs w:val="21"/>
          <w:lang w:val="zh-CN"/>
        </w:rPr>
        <w:t xml:space="preserve">甲方将无息退还乙方履约保证金</w:t>
      </w:r>
      <w:r>
        <w:rPr>
          <w:rFonts w:hint="eastAsia" w:ascii="宋体" w:hAnsi="宋体" w:cs="宋体"/>
          <w:color w:val="000000" w:themeColor="text1"/>
          <w:sz w:val="21"/>
          <w:szCs w:val="21"/>
        </w:rPr>
        <w:t xml:space="preserve">。</w:t>
      </w:r>
      <w:r/>
    </w:p>
    <w:p>
      <w:pPr>
        <w:ind w:firstLine="422"/>
        <w:jc w:val="both"/>
        <w:spacing w:after="0" w:line="360" w:lineRule="auto"/>
        <w:tabs>
          <w:tab w:val="left" w:pos="1980" w:leader="none"/>
        </w:tabs>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rPr>
        <w:t xml:space="preserve">九</w:t>
      </w:r>
      <w:r>
        <w:rPr>
          <w:rFonts w:ascii="宋体" w:hAnsi="宋体" w:cs="宋体"/>
          <w:b/>
          <w:color w:val="000000" w:themeColor="text1"/>
          <w:sz w:val="21"/>
          <w:szCs w:val="21"/>
        </w:rPr>
        <w:t xml:space="preserve">、保密条款</w:t>
      </w:r>
      <w:r>
        <w:rPr>
          <w:rFonts w:ascii="宋体" w:hAnsi="宋体" w:cs="宋体"/>
          <w:color w:val="000000" w:themeColor="text1"/>
          <w:sz w:val="21"/>
          <w:szCs w:val="21"/>
        </w:rPr>
        <w:t xml:space="preserve">：乙方不得将在履行本合同中知悉的甲方任何信息随意泄露、擅自使用。如违反本条款规定，乙方应当承担如下责任：</w:t>
      </w:r>
      <w:r>
        <w:rPr>
          <w:rFonts w:ascii="宋体" w:hAnsi="宋体" w:cs="宋体"/>
          <w:color w:val="000000" w:themeColor="text1"/>
          <w:sz w:val="21"/>
          <w:szCs w:val="21"/>
          <w:u w:val="single"/>
        </w:rPr>
        <w:t xml:space="preserve">乙方需承担因此给甲方造成的所有直接和间接损失</w:t>
      </w:r>
      <w:r>
        <w:rPr>
          <w:rFonts w:ascii="宋体" w:hAnsi="宋体" w:cs="宋体"/>
          <w:color w:val="000000" w:themeColor="text1"/>
          <w:sz w:val="21"/>
          <w:szCs w:val="21"/>
        </w:rPr>
        <w:t xml:space="preserve">。</w:t>
      </w:r>
      <w:r/>
    </w:p>
    <w:p>
      <w:pPr>
        <w:ind w:firstLine="422"/>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十、合同纠纷处理：</w:t>
      </w:r>
      <w:r>
        <w:rPr>
          <w:rFonts w:ascii="宋体" w:hAnsi="宋体" w:cs="宋体"/>
          <w:color w:val="000000" w:themeColor="text1"/>
          <w:sz w:val="21"/>
          <w:szCs w:val="21"/>
        </w:rPr>
        <w:t xml:space="preserve">本合同执行过程中发生纠纷，由甲乙双方协商处理，若协商不成，双方一致同意提起诉讼。约定由甲方所在地人民法院管辖。</w:t>
      </w:r>
      <w:r/>
    </w:p>
    <w:p>
      <w:pPr>
        <w:ind w:firstLine="422"/>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十</w:t>
      </w:r>
      <w:r>
        <w:rPr>
          <w:rFonts w:hint="eastAsia" w:ascii="宋体" w:hAnsi="宋体" w:cs="宋体"/>
          <w:b/>
          <w:color w:val="000000" w:themeColor="text1"/>
          <w:sz w:val="21"/>
          <w:szCs w:val="21"/>
        </w:rPr>
        <w:t xml:space="preserve">一</w:t>
      </w:r>
      <w:r>
        <w:rPr>
          <w:rFonts w:ascii="宋体" w:hAnsi="宋体" w:cs="宋体"/>
          <w:b/>
          <w:color w:val="000000" w:themeColor="text1"/>
          <w:sz w:val="21"/>
          <w:szCs w:val="21"/>
        </w:rPr>
        <w:t xml:space="preserve">、合同生效：</w:t>
      </w:r>
      <w:r>
        <w:rPr>
          <w:rFonts w:ascii="宋体" w:hAnsi="宋体" w:cs="宋体"/>
          <w:color w:val="000000" w:themeColor="text1"/>
          <w:sz w:val="21"/>
          <w:szCs w:val="21"/>
        </w:rPr>
        <w:t xml:space="preserve">本合同由甲乙双方签字盖章后生效。</w:t>
      </w:r>
      <w:r/>
    </w:p>
    <w:p>
      <w:pPr>
        <w:ind w:firstLine="422"/>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十</w:t>
      </w:r>
      <w:r>
        <w:rPr>
          <w:rFonts w:hint="eastAsia" w:ascii="宋体" w:hAnsi="宋体" w:cs="宋体"/>
          <w:b/>
          <w:color w:val="000000" w:themeColor="text1"/>
          <w:sz w:val="21"/>
          <w:szCs w:val="21"/>
        </w:rPr>
        <w:t xml:space="preserve">二</w:t>
      </w:r>
      <w:r>
        <w:rPr>
          <w:rFonts w:ascii="宋体" w:hAnsi="宋体" w:cs="宋体"/>
          <w:b/>
          <w:color w:val="000000" w:themeColor="text1"/>
          <w:sz w:val="21"/>
          <w:szCs w:val="21"/>
        </w:rPr>
        <w:t xml:space="preserve">、组成本合同的文件包括：</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（一）合同通用条款和专用条款；</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（二）采购文件和乙方的响应文件；</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（三）成交通知书；</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（四）甲乙双方商定的其他必要文件。</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上述合同文件内容互为补充，如有不明确，由甲方负责解释。</w:t>
      </w:r>
      <w:r/>
    </w:p>
    <w:p>
      <w:pPr>
        <w:ind w:firstLine="422"/>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十</w:t>
      </w:r>
      <w:r>
        <w:rPr>
          <w:rFonts w:hint="eastAsia" w:ascii="宋体" w:hAnsi="宋体" w:cs="宋体"/>
          <w:b/>
          <w:color w:val="000000" w:themeColor="text1"/>
          <w:sz w:val="21"/>
          <w:szCs w:val="21"/>
        </w:rPr>
        <w:t xml:space="preserve">三</w:t>
      </w:r>
      <w:r>
        <w:rPr>
          <w:rFonts w:ascii="宋体" w:hAnsi="宋体" w:cs="宋体"/>
          <w:b/>
          <w:color w:val="000000" w:themeColor="text1"/>
          <w:sz w:val="21"/>
          <w:szCs w:val="21"/>
        </w:rPr>
        <w:t xml:space="preserve">、合同备案</w:t>
      </w:r>
      <w:r/>
    </w:p>
    <w:p>
      <w:pPr>
        <w:ind w:firstLine="420"/>
        <w:jc w:val="both"/>
        <w:spacing w:after="0" w:line="360" w:lineRule="auto"/>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本合同一式肆份，甲方持叁份、乙方持壹份，具有同等效力。</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甲方（公章）：泰州市中医院                    乙方（公章）：</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单位地址：泰州市海陵区济川东路86号           单位地址：                                                                                          </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电话：0523-86611712                           电话：</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开户行：建行泰州分行营业部                    开户行： </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帐号：105312800026                            帐号：</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信用代码：123212004690411095</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法定代表人或授权代表                          法定代表人或授权代表</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签字(或盖章）：                           </w:t>
      </w:r>
      <w:r>
        <w:rPr>
          <w:rFonts w:hint="eastAsia" w:ascii="宋体" w:hAnsi="宋体" w:cs="宋体"/>
          <w:color w:val="000000" w:themeColor="text1"/>
          <w:sz w:val="21"/>
          <w:szCs w:val="21"/>
        </w:rPr>
        <w:t xml:space="preserve">    </w:t>
      </w:r>
      <w:r>
        <w:rPr>
          <w:rFonts w:hint="eastAsia" w:ascii="宋体" w:hAnsi="宋体" w:cs="宋体"/>
          <w:color w:val="000000" w:themeColor="text1"/>
          <w:sz w:val="21"/>
          <w:szCs w:val="21"/>
        </w:rPr>
        <w:t xml:space="preserve">签字(或盖章）：</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业务部门代表签字：                                                                       </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日期：                                        日期：</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rPr>
        <w:t xml:space="preserve">2025年   月   日                              2025年   月   日</w:t>
      </w:r>
      <w:r/>
    </w:p>
    <w:p>
      <w:pPr>
        <w:rPr>
          <w:color w:val="000000" w:themeColor="text1"/>
          <w:sz w:val="24"/>
        </w:rPr>
        <w:sectPr>
          <w:footerReference w:type="default" r:id="rId9"/>
          <w:footerReference w:type="first" r:id="rId10"/>
          <w:footnotePr/>
          <w:endnotePr/>
          <w:type w:val="nextPage"/>
          <w:pgSz w:w="11906" w:h="16838" w:orient="portrait"/>
          <w:pgMar w:top="1015" w:right="1196" w:bottom="868" w:left="1259" w:header="851" w:footer="227" w:gutter="0"/>
          <w:cols w:num="1" w:sep="0" w:space="720" w:equalWidth="1"/>
          <w:docGrid w:linePitch="360"/>
          <w:titlePg/>
        </w:sectPr>
      </w:pPr>
      <w:r>
        <w:rPr>
          <w:color w:val="000000" w:themeColor="text1"/>
          <w:sz w:val="24"/>
        </w:rPr>
      </w:r>
      <w:r/>
    </w:p>
    <w:p>
      <w:pPr>
        <w:spacing w:after="0"/>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1"/>
          <w:szCs w:val="21"/>
        </w:rPr>
      </w:r>
      <w:r/>
    </w:p>
    <w:p>
      <w:pPr>
        <w:spacing w:after="0"/>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strike/>
          <w:color w:val="000000" w:themeColor="text1"/>
          <w:sz w:val="21"/>
          <w:szCs w:val="21"/>
        </w:rPr>
        <w:t xml:space="preserve"> </w:t>
      </w:r>
      <w:r/>
    </w:p>
    <w:p>
      <w:pPr>
        <w:jc w:val="center"/>
        <w:spacing w:after="0"/>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szCs w:val="21"/>
        </w:rPr>
        <w:t xml:space="preserve"> 医疗卫生机构医药产品廉洁购销合同</w:t>
      </w:r>
      <w:r/>
    </w:p>
    <w:p>
      <w:pPr>
        <w:ind w:firstLine="480"/>
        <w:jc w:val="both"/>
        <w:spacing w:after="0" w:line="499" w:lineRule="atLeast"/>
        <w:rPr>
          <w:rFonts w:hint="eastAsia" w:ascii="宋体" w:hAnsi="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1"/>
          <w:szCs w:val="21"/>
        </w:rPr>
        <w:t xml:space="preserve"> </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甲方（医疗卫生机构）：泰州市中医院</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乙方（医药生产经营企业及其代理人）：</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一、甲乙双方按照《中华人民共和国民法典》及医药产品购销合同约定购销药品、医用设备、医用耗材等医药产品。</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二、甲方应当严格执行医药产品购销合同验收、入库制度，对采购医药产品及发票进行查验，不得违反有关规定合同外采购、违价采购或从非规定渠道采购。</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四、严禁甲方工作人员利用任何途径和方式，为乙方统计医师个人及临床科室有关医药产品用量信息，或为乙方统计提供便利。</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五、乙方不得以回扣、宴请等方式影响甲方工作人员采购或使用医药产品的选择权，不得在学术活动中提供旅游、超标准支付食宿费用。</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六、乙方指定</w:t>
      </w:r>
      <w:r>
        <w:rPr>
          <w:rFonts w:ascii="宋体" w:hAnsi="宋体" w:cs="宋体"/>
          <w:color w:val="000000" w:themeColor="text1"/>
          <w:sz w:val="21"/>
          <w:szCs w:val="21"/>
          <w:u w:val="single"/>
        </w:rPr>
        <w:t xml:space="preserve">必填</w:t>
      </w:r>
      <w:r>
        <w:rPr>
          <w:rFonts w:ascii="宋体" w:hAnsi="宋体" w:cs="宋体"/>
          <w:color w:val="000000" w:themeColor="text1"/>
          <w:sz w:val="21"/>
          <w:szCs w:val="21"/>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七、乙方如违反本合同，一经发现，甲方有权终止购销合同，并向有关卫生计生行政部门报告。如乙方被列入商业贿赂不良记录，则严格按照《</w:t>
      </w:r>
      <w:bookmarkStart w:id="3" w:name="OLE_LINK2"/>
      <w:r>
        <w:rPr>
          <w:rFonts w:hint="eastAsia" w:ascii="宋体" w:hAnsi="宋体" w:cs="宋体"/>
          <w:color w:val="000000" w:themeColor="text1"/>
          <w:sz w:val="21"/>
          <w:szCs w:val="21"/>
        </w:rPr>
        <w:t xml:space="preserve">国家卫生健康委员会</w:t>
      </w:r>
      <w:r>
        <w:rPr>
          <w:rFonts w:ascii="宋体" w:hAnsi="宋体" w:cs="宋体"/>
          <w:color w:val="000000" w:themeColor="text1"/>
          <w:sz w:val="21"/>
          <w:szCs w:val="21"/>
        </w:rPr>
        <w:t xml:space="preserve">关于建立医药购销领域商业贿赂不良记录的规定</w:t>
      </w:r>
      <w:bookmarkEnd w:id="3"/>
      <w:r>
        <w:rPr>
          <w:rFonts w:ascii="宋体" w:hAnsi="宋体" w:cs="宋体"/>
          <w:color w:val="000000" w:themeColor="text1"/>
          <w:sz w:val="21"/>
          <w:szCs w:val="21"/>
        </w:rPr>
        <w:t xml:space="preserve">》（国卫法制发〔2013〕50号）相关规定处理。</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八、本合同作为医药产品购销合同的重要组成部分，与购销合同一并执行，具有同等的法律效力。</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九、本合同一式三份，甲、乙双方各执一份，甲方纪检监察部门（基层医疗卫生机构上报上级卫生计生行政部门）执一份，并从签订之日起生效。</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甲方（盖章）：                    乙方（盖章）：</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法定代表人                         法定代表人</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或授权代表签字：                  </w:t>
      </w:r>
      <w:r>
        <w:rPr>
          <w:rFonts w:hint="eastAsia" w:ascii="宋体" w:hAnsi="宋体" w:cs="宋体"/>
          <w:color w:val="000000" w:themeColor="text1"/>
          <w:sz w:val="21"/>
          <w:szCs w:val="21"/>
        </w:rPr>
        <w:t xml:space="preserve"> </w:t>
      </w:r>
      <w:r>
        <w:rPr>
          <w:rFonts w:ascii="宋体" w:hAnsi="宋体" w:cs="宋体"/>
          <w:color w:val="000000" w:themeColor="text1"/>
          <w:sz w:val="21"/>
          <w:szCs w:val="21"/>
        </w:rPr>
        <w:t xml:space="preserve">或授权代表签字：</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经办人签名：                     经办人签名：</w:t>
      </w:r>
      <w:r/>
    </w:p>
    <w:p>
      <w:pPr>
        <w:ind w:firstLine="420"/>
        <w:jc w:val="both"/>
        <w:spacing w:after="0" w:line="360" w:lineRule="auto"/>
        <w:rPr>
          <w:rFonts w:hint="eastAsia" w:ascii="宋体" w:hAnsi="宋体" w:cs="宋体"/>
          <w:color w:val="000000" w:themeColor="text1"/>
          <w:sz w:val="21"/>
          <w:szCs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rPr>
        <w:t xml:space="preserve">202</w:t>
      </w: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年   月   日                   202</w:t>
      </w:r>
      <w:r>
        <w:rPr>
          <w:rFonts w:hint="eastAsia" w:ascii="宋体" w:hAnsi="宋体" w:cs="宋体"/>
          <w:color w:val="000000" w:themeColor="text1"/>
          <w:sz w:val="21"/>
          <w:szCs w:val="21"/>
        </w:rPr>
        <w:t xml:space="preserve">5</w:t>
      </w:r>
      <w:r>
        <w:rPr>
          <w:rFonts w:ascii="宋体" w:hAnsi="宋体" w:cs="宋体"/>
          <w:color w:val="000000" w:themeColor="text1"/>
          <w:sz w:val="21"/>
          <w:szCs w:val="21"/>
        </w:rPr>
        <w:t xml:space="preserve">年   月   日</w:t>
      </w:r>
      <w:r/>
    </w:p>
    <w:p>
      <w:pPr>
        <w:spacing w:after="0" w:line="240" w:lineRule="auto"/>
        <w:rPr>
          <w:rFonts w:hint="eastAsia" w:ascii="宋体" w:hAnsi="宋体" w:cs="宋体"/>
          <w:b/>
          <w:color w:val="000000" w:themeColor="text1"/>
          <w:sz w:val="21"/>
        </w:rPr>
      </w:pPr>
      <w:r>
        <w:rPr>
          <w:rFonts w:hint="eastAsia" w:ascii="宋体" w:hAnsi="宋体" w:cs="宋体"/>
          <w:color w:val="000000" w:themeColor="text1"/>
          <w:sz w:val="21"/>
        </w:rPr>
        <w:br w:type="page" w:clear="all"/>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015" w:right="1196" w:bottom="868" w:left="1259" w:header="851" w:footer="227" w:gutter="0"/>
          <w:cols w:num="1" w:sep="0" w:space="720" w:equalWidth="1"/>
          <w:docGrid w:linePitch="360"/>
          <w:titlePg/>
        </w:sectPr>
      </w:pPr>
      <w:r>
        <w:rPr>
          <w:rFonts w:hint="eastAsia" w:ascii="宋体" w:hAnsi="宋体" w:cs="宋体"/>
          <w:bCs/>
          <w:color w:val="000000" w:themeColor="text1"/>
          <w:sz w:val="21"/>
          <w:szCs w:val="21"/>
        </w:rPr>
      </w:r>
      <w:r/>
    </w:p>
    <w:p>
      <w:pPr>
        <w:pStyle w:val="804"/>
        <w:spacing w:after="0"/>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第四章 项目需求</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一、采购需求：</w:t>
      </w:r>
      <w:r/>
    </w:p>
    <w:tbl>
      <w:tblPr>
        <w:tblW w:w="15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948"/>
        <w:gridCol w:w="948"/>
        <w:gridCol w:w="1003"/>
        <w:gridCol w:w="917"/>
        <w:gridCol w:w="1392"/>
        <w:gridCol w:w="1308"/>
        <w:gridCol w:w="2951"/>
        <w:gridCol w:w="2233"/>
        <w:gridCol w:w="2808"/>
      </w:tblGrid>
      <w:tr>
        <w:trPr>
          <w:jc w:val="center"/>
          <w:trHeight w:val="538"/>
        </w:trPr>
        <w:tc>
          <w:tcPr>
            <w:tcW w:w="709"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94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商品名</w:t>
            </w:r>
            <w:r/>
          </w:p>
        </w:tc>
        <w:tc>
          <w:tcPr>
            <w:tcW w:w="94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规格</w:t>
            </w:r>
            <w:r/>
          </w:p>
        </w:tc>
        <w:tc>
          <w:tcPr>
            <w:tcW w:w="1003"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91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1392"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综合单价（元）</w:t>
            </w:r>
            <w:r/>
          </w:p>
        </w:tc>
        <w:tc>
          <w:tcPr>
            <w:tcW w:w="130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合价（元）</w:t>
            </w:r>
            <w:r/>
          </w:p>
        </w:tc>
        <w:tc>
          <w:tcPr>
            <w:tcW w:w="295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药用包装材料</w:t>
            </w:r>
            <w:r/>
          </w:p>
        </w:tc>
        <w:tc>
          <w:tcPr>
            <w:tcW w:w="2233" w:type="dxa"/>
            <w:vAlign w:val="center"/>
            <w:textDirection w:val="lrTb"/>
            <w:noWrap w:val="false"/>
          </w:tcPr>
          <w:p>
            <w:pPr>
              <w:jc w:val="center"/>
              <w:rPr>
                <w:rFonts w:hint="eastAsia" w:ascii="宋体" w:hAnsi="宋体" w:cs="宋体"/>
                <w:b/>
                <w:bCs/>
                <w:color w:val="000000" w:themeColor="text1"/>
                <w:szCs w:val="21"/>
              </w:rPr>
            </w:pPr>
            <w:r>
              <w:rPr>
                <w:rFonts w:hint="eastAsia" w:ascii="微软雅黑" w:hAnsi="微软雅黑" w:eastAsia="微软雅黑" w:cs="微软雅黑"/>
                <w:b/>
                <w:bCs/>
                <w:color w:val="000000" w:themeColor="text1"/>
                <w:szCs w:val="21"/>
              </w:rPr>
              <w:t xml:space="preserve">★ </w:t>
            </w:r>
            <w:r>
              <w:rPr>
                <w:rFonts w:hint="eastAsia" w:ascii="宋体" w:hAnsi="宋体" w:cs="宋体"/>
                <w:b/>
                <w:bCs/>
                <w:color w:val="000000" w:themeColor="text1"/>
                <w:szCs w:val="21"/>
              </w:rPr>
              <w:t xml:space="preserve">材料要求</w:t>
            </w:r>
            <w:r/>
          </w:p>
        </w:tc>
        <w:tc>
          <w:tcPr>
            <w:tcW w:w="2808" w:type="dxa"/>
            <w:vAlign w:val="center"/>
            <w:textDirection w:val="lrTb"/>
            <w:noWrap w:val="false"/>
          </w:tcPr>
          <w:p>
            <w:pPr>
              <w:jc w:val="center"/>
              <w:rPr>
                <w:rFonts w:hint="eastAsia" w:ascii="宋体" w:hAnsi="宋体" w:cs="宋体"/>
                <w:b/>
                <w:bCs/>
                <w:color w:val="000000" w:themeColor="text1"/>
                <w:szCs w:val="21"/>
              </w:rPr>
            </w:pPr>
            <w:r>
              <w:rPr>
                <w:rFonts w:hint="eastAsia" w:ascii="微软雅黑" w:hAnsi="微软雅黑" w:eastAsia="微软雅黑" w:cs="微软雅黑"/>
                <w:b/>
                <w:bCs/>
                <w:color w:val="000000" w:themeColor="text1"/>
                <w:szCs w:val="21"/>
              </w:rPr>
              <w:t xml:space="preserve"> </w:t>
            </w:r>
            <w:r>
              <w:rPr>
                <w:rFonts w:hint="eastAsia" w:ascii="宋体" w:hAnsi="宋体" w:cs="宋体"/>
                <w:b/>
                <w:bCs/>
                <w:color w:val="000000" w:themeColor="text1"/>
                <w:szCs w:val="21"/>
              </w:rPr>
              <w:t xml:space="preserve">其他要求</w:t>
            </w:r>
            <w:r/>
          </w:p>
        </w:tc>
      </w:tr>
      <w:tr>
        <w:trPr>
          <w:jc w:val="center"/>
          <w:trHeight w:val="90"/>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30软管</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50ml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24000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0.6</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 </w:t>
            </w:r>
            <w:r/>
          </w:p>
        </w:tc>
        <w:tc>
          <w:tcPr>
            <w:tcW w:w="1308"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14640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454785" cy="1529715"/>
                      <wp:effectExtent l="0" t="0" r="12065" b="13335"/>
                      <wp:docPr id="4" name="图片 12" descr="微信图片_2021090715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 descr="微信图片_20210907153344"/>
                              <pic:cNvPicPr>
                                <a:picLocks noChangeAspect="1"/>
                              </pic:cNvPicPr>
                              <pic:nvPr/>
                            </pic:nvPicPr>
                            <pic:blipFill>
                              <a:blip r:embed="rId20"/>
                              <a:stretch/>
                            </pic:blipFill>
                            <pic:spPr bwMode="auto">
                              <a:xfrm>
                                <a:off x="0" y="0"/>
                                <a:ext cx="1454785" cy="152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5pt;height:120.4pt;mso-wrap-distance-left:0.0pt;mso-wrap-distance-top:0.0pt;mso-wrap-distance-right:0.0pt;mso-wrap-distance-bottom:0.0pt;" stroked="f">
                      <v:path textboxrect="0,0,0,0"/>
                      <v:imagedata r:id="rId20"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材质：PE。</w:t>
            </w:r>
            <w:r/>
          </w:p>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符合国家药包材标准：YBB00252005-2015相关标准，具有药包材注册证或药包材登记号。</w:t>
            </w:r>
            <w:r/>
          </w:p>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长度136mm</w:t>
            </w:r>
            <w:r>
              <w:rPr>
                <w:rFonts w:hint="eastAsia" w:ascii="宋体" w:hAnsi="宋体" w:cs="宋体"/>
                <w:color w:val="000000" w:themeColor="text1"/>
                <w:szCs w:val="22"/>
              </w:rPr>
              <w:t xml:space="preserve">（±1.2mm）</w:t>
            </w:r>
            <w:r>
              <w:rPr>
                <w:rFonts w:hint="eastAsia" w:ascii="宋体" w:hAnsi="宋体" w:cs="宋体"/>
                <w:color w:val="000000" w:themeColor="text1"/>
                <w:szCs w:val="21"/>
              </w:rPr>
              <w:t xml:space="preserve">，管径30mm</w:t>
            </w:r>
            <w:r>
              <w:rPr>
                <w:rFonts w:hint="eastAsia" w:ascii="宋体" w:hAnsi="宋体" w:cs="宋体"/>
                <w:color w:val="000000" w:themeColor="text1"/>
                <w:szCs w:val="22"/>
              </w:rPr>
              <w:t xml:space="preserve">（±0.3mm）</w:t>
            </w:r>
            <w:r/>
          </w:p>
        </w:tc>
      </w:tr>
      <w:tr>
        <w:trPr>
          <w:jc w:val="center"/>
          <w:trHeight w:val="3322"/>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玻璃瓶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272ml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49000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1.32</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64680</w:t>
            </w:r>
            <w:r/>
          </w:p>
        </w:tc>
        <w:tc>
          <w:tcPr>
            <w:tcW w:w="29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mc:AlternateContent>
                <mc:Choice Requires="wpg">
                  <w:drawing>
                    <wp:inline xmlns:wp="http://schemas.openxmlformats.org/drawingml/2006/wordprocessingDrawing" distT="0" distB="0" distL="0" distR="0">
                      <wp:extent cx="1915795" cy="1438910"/>
                      <wp:effectExtent l="0" t="0" r="8890" b="8255"/>
                      <wp:docPr id="5" name="图片 5" descr="5dcb12f8e580008a2a289c0ef5de6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dcb12f8e580008a2a289c0ef5de6a5b"/>
                              <pic:cNvPicPr>
                                <a:picLocks noChangeAspect="1"/>
                              </pic:cNvPicPr>
                              <pic:nvPr/>
                            </pic:nvPicPr>
                            <pic:blipFill>
                              <a:blip r:embed="rId21"/>
                              <a:stretch/>
                            </pic:blipFill>
                            <pic:spPr bwMode="auto">
                              <a:xfrm rot="16199998">
                                <a:off x="0" y="0"/>
                                <a:ext cx="1915795" cy="1438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8pt;height:113.3pt;mso-wrap-distance-left:0.0pt;mso-wrap-distance-top:0.0pt;mso-wrap-distance-right:0.0pt;mso-wrap-distance-bottom:0.0pt;rotation:269;" stroked="false">
                      <v:path textboxrect="0,0,0,0"/>
                      <v:imagedata r:id="rId21"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材质：钠钙玻璃+金属盖。</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符合国家药包材标准：YBB00272002-2015等相关标准，具有药包材注册证或药包材登记号。玻璃瓶不能有破损，瓶盖密封。</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rPr>
              <w:t xml:space="preserve">口径34mm（±0.3mm），外径60mm（±0.5mm），高度142mm（±1.2mm）</w:t>
            </w:r>
            <w:r/>
          </w:p>
        </w:tc>
      </w:tr>
      <w:tr>
        <w:trPr>
          <w:jc w:val="center"/>
          <w:trHeight w:val="3322"/>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3</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玻璃瓶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303ml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1.71</w:t>
            </w:r>
            <w:r/>
          </w:p>
        </w:tc>
        <w:tc>
          <w:tcPr>
            <w:tcW w:w="130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1710</w:t>
            </w:r>
            <w:r/>
          </w:p>
        </w:tc>
        <w:tc>
          <w:tcPr>
            <w:tcW w:w="2951" w:type="dxa"/>
            <w:vAlign w:val="center"/>
            <w:textDirection w:val="lrTb"/>
            <w:noWrap w:val="false"/>
          </w:tcPr>
          <w:p>
            <w:pPr>
              <w:jc w:val="center"/>
              <w:rPr>
                <w:rFonts w:hint="eastAsia" w:ascii="宋体" w:hAnsi="宋体" w:cs="宋体"/>
                <w:bCs/>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731010" cy="2308225"/>
                      <wp:effectExtent l="0" t="0" r="2540" b="15875"/>
                      <wp:docPr id="6" name="图片 14" descr="f061b24ec982d4623c0f808e17ef3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f061b24ec982d4623c0f808e17ef3c0"/>
                              <pic:cNvPicPr>
                                <a:picLocks noChangeAspect="1"/>
                              </pic:cNvPicPr>
                              <pic:nvPr/>
                            </pic:nvPicPr>
                            <pic:blipFill>
                              <a:blip r:embed="rId22"/>
                              <a:stretch/>
                            </pic:blipFill>
                            <pic:spPr bwMode="auto">
                              <a:xfrm>
                                <a:off x="0" y="0"/>
                                <a:ext cx="1731010" cy="230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6.3pt;height:181.8pt;mso-wrap-distance-left:0.0pt;mso-wrap-distance-top:0.0pt;mso-wrap-distance-right:0.0pt;mso-wrap-distance-bottom:0.0pt;" stroked="f">
                      <v:path textboxrect="0,0,0,0"/>
                      <v:imagedata r:id="rId22"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材质：钠钙玻璃+金属盖。</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符合国家药包材标准：YBB00272002-2015等相关标准，具有药包材注册证或药包材登记号。玻璃瓶不能有破损，瓶盖密封。</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rPr>
              <w:t xml:space="preserve">口径59mm（±0.5mm），外径70mm（±0.7mm），高度111mm（±1.2mm）</w:t>
            </w:r>
            <w:r/>
          </w:p>
        </w:tc>
      </w:tr>
      <w:tr>
        <w:trPr>
          <w:jc w:val="center"/>
          <w:trHeight w:val="3422"/>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4</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输液瓶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26B口100ml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70000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hint="eastAsia" w:ascii="宋体" w:hAnsi="宋体" w:cs="宋体"/>
                <w:color w:val="000000" w:themeColor="text1"/>
                <w:szCs w:val="21"/>
              </w:rPr>
              <w:t xml:space="preserve">0.86</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60200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633220" cy="2178050"/>
                      <wp:effectExtent l="0" t="0" r="5080" b="12700"/>
                      <wp:docPr id="7" name="图片 15" descr="微信图片_20210907153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5" descr="微信图片_202109071533441"/>
                              <pic:cNvPicPr>
                                <a:picLocks noChangeAspect="1"/>
                              </pic:cNvPicPr>
                              <pic:nvPr/>
                            </pic:nvPicPr>
                            <pic:blipFill>
                              <a:blip r:embed="rId23"/>
                              <a:stretch/>
                            </pic:blipFill>
                            <pic:spPr bwMode="auto">
                              <a:xfrm>
                                <a:off x="0" y="0"/>
                                <a:ext cx="1633220" cy="217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8.6pt;height:171.5pt;mso-wrap-distance-left:0.0pt;mso-wrap-distance-top:0.0pt;mso-wrap-distance-right:0.0pt;mso-wrap-distance-bottom:0.0pt;" stroked="f">
                      <v:path textboxrect="0,0,0,0"/>
                      <v:imagedata r:id="rId23"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材质：钠钙玻璃+丁基胶塞+铝塑组合盖。</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符合国家药包材标准：YBB00032005-2015、YBB00402003-2015等相关标准，具有药包材注册证或药包材登记号。玻璃瓶不能有破损，瓶盖密封。</w:t>
            </w:r>
            <w:r/>
          </w:p>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rPr>
              <w:t xml:space="preserve">口径26mm（±0.3mm），外径53mm（±1mm），高度110mm（±1.2mm）</w:t>
            </w:r>
            <w:r/>
          </w:p>
        </w:tc>
      </w:tr>
      <w:tr>
        <w:trPr>
          <w:jc w:val="center"/>
          <w:trHeight w:val="3443"/>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5</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输液瓶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26B口250ml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126000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hint="eastAsia" w:ascii="宋体" w:hAnsi="宋体" w:cs="宋体"/>
                <w:color w:val="000000" w:themeColor="text1"/>
                <w:szCs w:val="21"/>
              </w:rPr>
              <w:t xml:space="preserve">1.05</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132300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550035" cy="2068195"/>
                      <wp:effectExtent l="0" t="0" r="12065" b="8255"/>
                      <wp:docPr id="8" name="图片 16" descr="微信图片_20210907153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6" descr="微信图片_202109071533447"/>
                              <pic:cNvPicPr>
                                <a:picLocks noChangeAspect="1"/>
                              </pic:cNvPicPr>
                              <pic:nvPr/>
                            </pic:nvPicPr>
                            <pic:blipFill>
                              <a:blip r:embed="rId24"/>
                              <a:stretch/>
                            </pic:blipFill>
                            <pic:spPr bwMode="auto">
                              <a:xfrm>
                                <a:off x="0" y="0"/>
                                <a:ext cx="1550035" cy="2068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2.0pt;height:162.8pt;mso-wrap-distance-left:0.0pt;mso-wrap-distance-top:0.0pt;mso-wrap-distance-right:0.0pt;mso-wrap-distance-bottom:0.0pt;" stroked="f">
                      <v:path textboxrect="0,0,0,0"/>
                      <v:imagedata r:id="rId24"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材质：钠钙玻璃+丁基胶塞+铝塑组合盖。</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符合国家药包材标准：YBB00032005-2015、YBB00402003-2015等相关标准，具有药包材注册证或药包材登记号。玻璃瓶不能有破损，瓶盖密封。</w:t>
            </w:r>
            <w:r/>
          </w:p>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rPr>
              <w:t xml:space="preserve">口径26mm（±0.3mm），外径68mm（±1mm），高度141mm（±1.2mm）</w:t>
            </w:r>
            <w:r/>
          </w:p>
        </w:tc>
      </w:tr>
      <w:tr>
        <w:trPr>
          <w:jc w:val="center"/>
          <w:trHeight w:val="2761"/>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6</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塑料瓶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650000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0.23</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149500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541780" cy="2302510"/>
                      <wp:effectExtent l="0" t="0" r="1270" b="2540"/>
                      <wp:docPr id="9" name="图片 17" descr="微信图片_20210907153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descr="微信图片_202109071533445"/>
                              <pic:cNvPicPr>
                                <a:picLocks noChangeAspect="1"/>
                              </pic:cNvPicPr>
                              <pic:nvPr/>
                            </pic:nvPicPr>
                            <pic:blipFill>
                              <a:blip r:embed="rId25"/>
                              <a:stretch/>
                            </pic:blipFill>
                            <pic:spPr bwMode="auto">
                              <a:xfrm>
                                <a:off x="0" y="0"/>
                                <a:ext cx="1541780" cy="2302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1.4pt;height:181.3pt;mso-wrap-distance-left:0.0pt;mso-wrap-distance-top:0.0pt;mso-wrap-distance-right:0.0pt;mso-wrap-distance-bottom:0.0pt;" stroked="f">
                      <v:path textboxrect="0,0,0,0"/>
                      <v:imagedata r:id="rId25"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材质：PE。</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符合国家药包材标准：YBB00092002-2015标准，具有药包材注册证或药包材登记号。耐高温，耐100-110℃。</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外径22mm</w:t>
            </w:r>
            <w:r>
              <w:rPr>
                <w:rFonts w:hint="eastAsia" w:ascii="宋体" w:hAnsi="宋体" w:cs="宋体"/>
                <w:color w:val="000000" w:themeColor="text1"/>
              </w:rPr>
              <w:t xml:space="preserve">（±0.3mm）</w:t>
            </w:r>
            <w:r>
              <w:rPr>
                <w:rFonts w:hint="eastAsia" w:ascii="宋体" w:hAnsi="宋体" w:cs="宋体"/>
                <w:color w:val="000000" w:themeColor="text1"/>
                <w:szCs w:val="21"/>
              </w:rPr>
              <w:t xml:space="preserve">，口径4mm</w:t>
            </w:r>
            <w:r>
              <w:rPr>
                <w:rFonts w:hint="eastAsia" w:ascii="宋体" w:hAnsi="宋体" w:cs="宋体"/>
                <w:color w:val="000000" w:themeColor="text1"/>
              </w:rPr>
              <w:t xml:space="preserve">（±0.3mm）</w:t>
            </w:r>
            <w:r>
              <w:rPr>
                <w:rFonts w:hint="eastAsia" w:ascii="宋体" w:hAnsi="宋体" w:cs="宋体"/>
                <w:color w:val="000000" w:themeColor="text1"/>
                <w:szCs w:val="21"/>
              </w:rPr>
              <w:t xml:space="preserve">，高度111mm</w:t>
            </w:r>
            <w:r>
              <w:rPr>
                <w:rFonts w:hint="eastAsia" w:ascii="宋体" w:hAnsi="宋体" w:cs="宋体"/>
                <w:color w:val="000000" w:themeColor="text1"/>
              </w:rPr>
              <w:t xml:space="preserve">（±1.2mm）</w:t>
            </w:r>
            <w:r/>
          </w:p>
        </w:tc>
      </w:tr>
      <w:tr>
        <w:trPr>
          <w:jc w:val="center"/>
          <w:trHeight w:val="3609"/>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7</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塑料瓶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30ml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31000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hint="eastAsia" w:ascii="宋体" w:hAnsi="宋体" w:cs="宋体"/>
                <w:color w:val="000000" w:themeColor="text1"/>
                <w:szCs w:val="21"/>
              </w:rPr>
              <w:t xml:space="preserve">0.40</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12400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633220" cy="2178050"/>
                      <wp:effectExtent l="0" t="0" r="5080" b="12700"/>
                      <wp:docPr id="10" name="图片 18" descr="微信图片_20210907153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微信图片_202109071533442"/>
                              <pic:cNvPicPr>
                                <a:picLocks noChangeAspect="1"/>
                              </pic:cNvPicPr>
                              <pic:nvPr/>
                            </pic:nvPicPr>
                            <pic:blipFill>
                              <a:blip r:embed="rId26"/>
                              <a:stretch/>
                            </pic:blipFill>
                            <pic:spPr bwMode="auto">
                              <a:xfrm>
                                <a:off x="0" y="0"/>
                                <a:ext cx="1633220" cy="217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8.6pt;height:171.5pt;mso-wrap-distance-left:0.0pt;mso-wrap-distance-top:0.0pt;mso-wrap-distance-right:0.0pt;mso-wrap-distance-bottom:0.0pt;" stroked="f">
                      <v:path textboxrect="0,0,0,0"/>
                      <v:imagedata r:id="rId26"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材质：PE。</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符合国家药包材标准：YBB00392003-2015相关标准，具有药包材注册证或药包材登记号。配铝箔垫片可静电封口。</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外径34mm</w:t>
            </w:r>
            <w:r>
              <w:rPr>
                <w:rFonts w:hint="eastAsia" w:ascii="宋体" w:hAnsi="宋体" w:cs="宋体"/>
                <w:color w:val="000000" w:themeColor="text1"/>
              </w:rPr>
              <w:t xml:space="preserve">（±0.3mm）</w:t>
            </w:r>
            <w:r>
              <w:rPr>
                <w:rFonts w:hint="eastAsia" w:ascii="宋体" w:hAnsi="宋体" w:cs="宋体"/>
                <w:color w:val="000000" w:themeColor="text1"/>
                <w:szCs w:val="21"/>
              </w:rPr>
              <w:t xml:space="preserve">，口径20mm</w:t>
            </w:r>
            <w:r>
              <w:rPr>
                <w:rFonts w:hint="eastAsia" w:ascii="宋体" w:hAnsi="宋体" w:cs="宋体"/>
                <w:color w:val="000000" w:themeColor="text1"/>
              </w:rPr>
              <w:t xml:space="preserve">（±0.3mm）</w:t>
            </w:r>
            <w:r>
              <w:rPr>
                <w:rFonts w:hint="eastAsia" w:ascii="宋体" w:hAnsi="宋体" w:cs="宋体"/>
                <w:color w:val="000000" w:themeColor="text1"/>
                <w:szCs w:val="21"/>
              </w:rPr>
              <w:t xml:space="preserve">，高度（带盖）65mm</w:t>
            </w:r>
            <w:r>
              <w:rPr>
                <w:rFonts w:hint="eastAsia" w:ascii="宋体" w:hAnsi="宋体" w:cs="宋体"/>
                <w:color w:val="000000" w:themeColor="text1"/>
              </w:rPr>
              <w:t xml:space="preserve">（±1mm）</w:t>
            </w:r>
            <w:r/>
          </w:p>
        </w:tc>
      </w:tr>
      <w:tr>
        <w:trPr>
          <w:jc w:val="center"/>
          <w:trHeight w:val="3427"/>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8</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塑料瓶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100ml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64000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hint="eastAsia" w:ascii="宋体" w:hAnsi="宋体" w:cs="宋体"/>
                <w:color w:val="000000" w:themeColor="text1"/>
                <w:szCs w:val="21"/>
              </w:rPr>
              <w:t xml:space="preserve">0.48</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30720</w:t>
            </w:r>
            <w:r/>
          </w:p>
        </w:tc>
        <w:tc>
          <w:tcPr>
            <w:tcW w:w="2951"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647825" cy="2197100"/>
                      <wp:effectExtent l="0" t="0" r="9525" b="12700"/>
                      <wp:docPr id="11" name="图片 19" descr="微信图片_20210907153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9" descr="微信图片_202109071533446"/>
                              <pic:cNvPicPr>
                                <a:picLocks noChangeAspect="1"/>
                              </pic:cNvPicPr>
                              <pic:nvPr/>
                            </pic:nvPicPr>
                            <pic:blipFill>
                              <a:blip r:embed="rId27"/>
                              <a:stretch/>
                            </pic:blipFill>
                            <pic:spPr bwMode="auto">
                              <a:xfrm>
                                <a:off x="0" y="0"/>
                                <a:ext cx="1647825" cy="2197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9.8pt;height:173.0pt;mso-wrap-distance-left:0.0pt;mso-wrap-distance-top:0.0pt;mso-wrap-distance-right:0.0pt;mso-wrap-distance-bottom:0.0pt;" stroked="f">
                      <v:path textboxrect="0,0,0,0"/>
                      <v:imagedata r:id="rId27"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材质：PE。</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符合国家药包材标准：YBB00392003-2015相关标准，具有药包材注册证或药包材登记号。</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外径45mm</w:t>
            </w:r>
            <w:r>
              <w:rPr>
                <w:rFonts w:hint="eastAsia" w:ascii="宋体" w:hAnsi="宋体" w:cs="宋体"/>
                <w:color w:val="000000" w:themeColor="text1"/>
              </w:rPr>
              <w:t xml:space="preserve">（±0.3mm）</w:t>
            </w:r>
            <w:r>
              <w:rPr>
                <w:rFonts w:hint="eastAsia" w:ascii="宋体" w:hAnsi="宋体" w:cs="宋体"/>
                <w:color w:val="000000" w:themeColor="text1"/>
                <w:szCs w:val="21"/>
              </w:rPr>
              <w:t xml:space="preserve">，口径16mm</w:t>
            </w:r>
            <w:r>
              <w:rPr>
                <w:rFonts w:hint="eastAsia" w:ascii="宋体" w:hAnsi="宋体" w:cs="宋体"/>
                <w:color w:val="000000" w:themeColor="text1"/>
              </w:rPr>
              <w:t xml:space="preserve">（±0.2mm）</w:t>
            </w:r>
            <w:r>
              <w:rPr>
                <w:rFonts w:hint="eastAsia" w:ascii="宋体" w:hAnsi="宋体" w:cs="宋体"/>
                <w:color w:val="000000" w:themeColor="text1"/>
                <w:szCs w:val="21"/>
              </w:rPr>
              <w:t xml:space="preserve">，高度（带盖）101mm</w:t>
            </w:r>
            <w:r>
              <w:rPr>
                <w:rFonts w:hint="eastAsia" w:ascii="宋体" w:hAnsi="宋体" w:cs="宋体"/>
                <w:color w:val="000000" w:themeColor="text1"/>
              </w:rPr>
              <w:t xml:space="preserve">（±1.2mm）</w:t>
            </w:r>
            <w:r/>
          </w:p>
        </w:tc>
      </w:tr>
      <w:tr>
        <w:trPr>
          <w:jc w:val="center"/>
          <w:trHeight w:val="3925"/>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9</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低硼硅玻璃管制口服液体瓶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75600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0.21</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15876</w:t>
            </w:r>
            <w:r/>
          </w:p>
        </w:tc>
        <w:tc>
          <w:tcPr>
            <w:tcW w:w="2951" w:type="dxa"/>
            <w:vAlign w:val="center"/>
            <w:textDirection w:val="lrTb"/>
            <w:noWrap w:val="false"/>
          </w:tcPr>
          <w:p>
            <w:pPr>
              <w:jc w:val="center"/>
              <w:rPr>
                <w:rFonts w:hint="eastAsia" w:ascii="宋体" w:hAnsi="宋体" w:cs="宋体"/>
                <w:bCs/>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731010" cy="2308225"/>
                      <wp:effectExtent l="0" t="0" r="2540" b="15875"/>
                      <wp:docPr id="12" name="图片 20" descr="34abbcc991115e2d1226e45e6ebed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0" descr="34abbcc991115e2d1226e45e6ebedb6"/>
                              <pic:cNvPicPr>
                                <a:picLocks noChangeAspect="1"/>
                              </pic:cNvPicPr>
                              <pic:nvPr/>
                            </pic:nvPicPr>
                            <pic:blipFill>
                              <a:blip r:embed="rId28"/>
                              <a:stretch/>
                            </pic:blipFill>
                            <pic:spPr bwMode="auto">
                              <a:xfrm>
                                <a:off x="0" y="0"/>
                                <a:ext cx="1731010" cy="230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6.3pt;height:181.8pt;mso-wrap-distance-left:0.0pt;mso-wrap-distance-top:0.0pt;mso-wrap-distance-right:0.0pt;mso-wrap-distance-bottom:0.0pt;" stroked="f">
                      <v:path textboxrect="0,0,0,0"/>
                      <v:imagedata r:id="rId28" o:title=""/>
                    </v:shape>
                  </w:pict>
                </mc:Fallback>
              </mc:AlternateContent>
            </w:r>
            <w:r/>
          </w:p>
        </w:tc>
        <w:tc>
          <w:tcPr>
            <w:tcW w:w="2233" w:type="dxa"/>
            <w:vAlign w:val="center"/>
            <w:textDirection w:val="lrTb"/>
            <w:noWrap w:val="false"/>
          </w:tcPr>
          <w:p>
            <w:pPr>
              <w:pStyle w:val="851"/>
              <w:ind w:firstLine="0"/>
              <w:rPr>
                <w:rFonts w:hint="eastAsia" w:ascii="宋体" w:hAnsi="宋体" w:cs="宋体"/>
                <w:color w:val="000000" w:themeColor="text1"/>
                <w:szCs w:val="22"/>
              </w:rPr>
            </w:pPr>
            <w:r>
              <w:rPr>
                <w:rFonts w:hint="eastAsia" w:ascii="宋体" w:hAnsi="宋体" w:cs="宋体"/>
                <w:color w:val="000000" w:themeColor="text1"/>
                <w:szCs w:val="22"/>
              </w:rPr>
              <w:t xml:space="preserve">材质：低硼硅玻璃+胶塞/垫片+铝塑组合盖</w:t>
            </w:r>
            <w:r/>
          </w:p>
          <w:p>
            <w:pPr>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szCs w:val="22"/>
              </w:rPr>
              <w:t xml:space="preserve">符合</w:t>
            </w:r>
            <w:r>
              <w:rPr>
                <w:rFonts w:hint="eastAsia" w:ascii="宋体" w:hAnsi="宋体" w:cs="宋体"/>
                <w:bCs/>
                <w:color w:val="000000" w:themeColor="text1"/>
                <w:szCs w:val="22"/>
              </w:rPr>
              <w:t xml:space="preserve">国家药包材标准：</w:t>
            </w:r>
            <w:r>
              <w:rPr>
                <w:rFonts w:hint="eastAsia" w:ascii="宋体" w:hAnsi="宋体" w:cs="宋体"/>
                <w:color w:val="000000" w:themeColor="text1"/>
                <w:szCs w:val="22"/>
              </w:rPr>
              <w:t xml:space="preserve">YBB00282002-2015等相关标准，具有药包材注册证或药包材登记号。</w:t>
            </w:r>
            <w:r/>
          </w:p>
          <w:p>
            <w:pPr>
              <w:pStyle w:val="851"/>
              <w:ind w:firstLine="220"/>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pStyle w:val="851"/>
              <w:ind w:firstLine="220"/>
              <w:rPr>
                <w:rFonts w:hint="eastAsia" w:ascii="宋体" w:hAnsi="宋体" w:cs="宋体"/>
                <w:color w:val="000000" w:themeColor="text1"/>
                <w:szCs w:val="22"/>
              </w:rPr>
            </w:pPr>
            <w:r>
              <w:rPr>
                <w:rFonts w:hint="eastAsia" w:ascii="宋体" w:hAnsi="宋体" w:cs="宋体"/>
                <w:color w:val="000000" w:themeColor="text1"/>
                <w:szCs w:val="22"/>
              </w:rPr>
              <w:t xml:space="preserve">口径15mm（±0.3mm），外径18mm（±0.3mm），高度72mm（±1.2mm）</w:t>
            </w:r>
            <w:r/>
          </w:p>
        </w:tc>
      </w:tr>
      <w:tr>
        <w:trPr>
          <w:jc w:val="center"/>
          <w:trHeight w:val="3925"/>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10</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低硼硅玻璃管制口服液体瓶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20ml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504000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0.28</w:t>
            </w:r>
            <w:r/>
          </w:p>
        </w:tc>
        <w:tc>
          <w:tcPr>
            <w:tcW w:w="1308" w:type="dxa"/>
            <w:vAlign w:val="center"/>
            <w:textDirection w:val="lrTb"/>
            <w:noWrap w:val="false"/>
          </w:tcPr>
          <w:p>
            <w:pPr>
              <w:jc w:val="center"/>
              <w:rPr>
                <w:rFonts w:hint="eastAsia" w:ascii="宋体" w:hAnsi="宋体" w:cs="宋体"/>
                <w:color w:val="000000" w:themeColor="text1"/>
                <w:szCs w:val="21"/>
                <w:highlight w:val="cyan"/>
              </w:rPr>
            </w:pPr>
            <w:r>
              <w:rPr>
                <w:rFonts w:ascii="宋体" w:hAnsi="宋体" w:cs="宋体"/>
                <w:color w:val="000000" w:themeColor="text1"/>
                <w:szCs w:val="21"/>
              </w:rPr>
              <w:t xml:space="preserve">141120</w:t>
            </w:r>
            <w:r/>
          </w:p>
        </w:tc>
        <w:tc>
          <w:tcPr>
            <w:tcW w:w="2951" w:type="dxa"/>
            <w:vAlign w:val="center"/>
            <w:textDirection w:val="lrTb"/>
            <w:noWrap w:val="false"/>
          </w:tcPr>
          <w:p>
            <w:pPr>
              <w:jc w:val="center"/>
              <w:rPr>
                <w:rFonts w:hint="eastAsia" w:ascii="宋体" w:hAnsi="宋体" w:cs="宋体"/>
                <w:bCs/>
                <w:color w:val="000000" w:themeColor="text1"/>
                <w:szCs w:val="21"/>
              </w:rPr>
            </w:pPr>
            <w:r>
              <w:rPr>
                <w:rFonts w:ascii="宋体" w:hAnsi="宋体" w:cs="宋体"/>
                <w:color w:val="000000" w:themeColor="text1"/>
                <w:szCs w:val="21"/>
              </w:rPr>
              <mc:AlternateContent>
                <mc:Choice Requires="wpg">
                  <w:drawing>
                    <wp:inline xmlns:wp="http://schemas.openxmlformats.org/drawingml/2006/wordprocessingDrawing" distT="0" distB="0" distL="0" distR="0">
                      <wp:extent cx="1731010" cy="2308225"/>
                      <wp:effectExtent l="0" t="0" r="2540" b="15875"/>
                      <wp:docPr id="13" name="图片 21" descr="9778c2642e68596f443509d507479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9778c2642e68596f443509d5074796c"/>
                              <pic:cNvPicPr>
                                <a:picLocks noChangeAspect="1"/>
                              </pic:cNvPicPr>
                              <pic:nvPr/>
                            </pic:nvPicPr>
                            <pic:blipFill>
                              <a:blip r:embed="rId29"/>
                              <a:stretch/>
                            </pic:blipFill>
                            <pic:spPr bwMode="auto">
                              <a:xfrm>
                                <a:off x="0" y="0"/>
                                <a:ext cx="1731010" cy="230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6.3pt;height:181.8pt;mso-wrap-distance-left:0.0pt;mso-wrap-distance-top:0.0pt;mso-wrap-distance-right:0.0pt;mso-wrap-distance-bottom:0.0pt;" stroked="f">
                      <v:path textboxrect="0,0,0,0"/>
                      <v:imagedata r:id="rId29" o:title=""/>
                    </v:shape>
                  </w:pict>
                </mc:Fallback>
              </mc:AlternateContent>
            </w:r>
            <w:r/>
          </w:p>
        </w:tc>
        <w:tc>
          <w:tcPr>
            <w:tcW w:w="2233" w:type="dxa"/>
            <w:vAlign w:val="center"/>
            <w:textDirection w:val="lrTb"/>
            <w:noWrap w:val="false"/>
          </w:tcPr>
          <w:p>
            <w:pPr>
              <w:pStyle w:val="851"/>
              <w:ind w:firstLine="0"/>
              <w:rPr>
                <w:rFonts w:hint="eastAsia" w:ascii="宋体" w:hAnsi="宋体" w:cs="宋体"/>
                <w:color w:val="000000" w:themeColor="text1"/>
                <w:szCs w:val="22"/>
              </w:rPr>
            </w:pPr>
            <w:r>
              <w:rPr>
                <w:rFonts w:hint="eastAsia" w:ascii="宋体" w:hAnsi="宋体" w:cs="宋体"/>
                <w:color w:val="000000" w:themeColor="text1"/>
                <w:szCs w:val="22"/>
              </w:rPr>
              <w:t xml:space="preserve">材质：低硼硅玻璃+胶塞/垫片+铝塑组合盖</w:t>
            </w:r>
            <w:r/>
          </w:p>
          <w:p>
            <w:pPr>
              <w:rPr>
                <w:rFonts w:hint="eastAsia" w:ascii="宋体" w:hAnsi="宋体" w:cs="宋体"/>
                <w:color w:val="000000" w:themeColor="text1"/>
              </w:rPr>
            </w:pPr>
            <w:r>
              <w:rPr>
                <w:rFonts w:hint="eastAsia" w:ascii="宋体" w:hAnsi="宋体" w:cs="宋体"/>
                <w:color w:val="000000" w:themeColor="text1"/>
              </w:rPr>
            </w:r>
            <w:r/>
          </w:p>
          <w:p>
            <w:pPr>
              <w:rPr>
                <w:rFonts w:hint="eastAsia" w:ascii="宋体" w:hAnsi="宋体" w:cs="宋体"/>
                <w:color w:val="000000" w:themeColor="text1"/>
              </w:rPr>
            </w:pPr>
            <w:r>
              <w:rPr>
                <w:rFonts w:hint="eastAsia" w:ascii="宋体" w:hAnsi="宋体" w:cs="宋体"/>
                <w:color w:val="000000" w:themeColor="text1"/>
                <w:szCs w:val="22"/>
              </w:rPr>
              <w:t xml:space="preserve">符合</w:t>
            </w:r>
            <w:r>
              <w:rPr>
                <w:rFonts w:hint="eastAsia" w:ascii="宋体" w:hAnsi="宋体" w:cs="宋体"/>
                <w:bCs/>
                <w:color w:val="000000" w:themeColor="text1"/>
                <w:szCs w:val="22"/>
              </w:rPr>
              <w:t xml:space="preserve">国家药包材标准：</w:t>
            </w:r>
            <w:r>
              <w:rPr>
                <w:rFonts w:hint="eastAsia" w:ascii="宋体" w:hAnsi="宋体" w:cs="宋体"/>
                <w:color w:val="000000" w:themeColor="text1"/>
                <w:szCs w:val="22"/>
              </w:rPr>
              <w:t xml:space="preserve">YBB00282002-2015等相关标准，具有药包材注册证或药包材登记号。</w:t>
            </w:r>
            <w:r/>
          </w:p>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pStyle w:val="851"/>
              <w:ind w:firstLine="220"/>
              <w:rPr>
                <w:rFonts w:hint="eastAsia" w:ascii="宋体" w:hAnsi="宋体" w:cs="宋体"/>
                <w:color w:val="000000" w:themeColor="text1"/>
                <w:szCs w:val="22"/>
              </w:rPr>
            </w:pPr>
            <w:r>
              <w:rPr>
                <w:rFonts w:hint="eastAsia" w:ascii="宋体" w:hAnsi="宋体" w:cs="宋体"/>
                <w:color w:val="000000" w:themeColor="text1"/>
                <w:szCs w:val="22"/>
              </w:rPr>
              <w:t xml:space="preserve">口径15mm（±0.3mm），外径21mm（±0.3mm），高度87mm（±1.2mm）</w:t>
            </w:r>
            <w:r/>
          </w:p>
        </w:tc>
      </w:tr>
      <w:tr>
        <w:trPr>
          <w:jc w:val="center"/>
          <w:trHeight w:val="3644"/>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11</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棕色玻璃瓶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120ml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400000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highlight w:val="cyan"/>
              </w:rPr>
            </w:pPr>
            <w:r>
              <w:rPr>
                <w:rFonts w:hint="eastAsia" w:ascii="宋体" w:hAnsi="宋体" w:cs="宋体"/>
                <w:color w:val="000000" w:themeColor="text1"/>
                <w:szCs w:val="21"/>
              </w:rPr>
              <w:t xml:space="preserve">0.79</w:t>
            </w:r>
            <w:r/>
          </w:p>
        </w:tc>
        <w:tc>
          <w:tcPr>
            <w:tcW w:w="130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316000</w:t>
            </w:r>
            <w:r/>
          </w:p>
        </w:tc>
        <w:tc>
          <w:tcPr>
            <w:tcW w:w="2951" w:type="dxa"/>
            <w:vAlign w:val="center"/>
            <w:textDirection w:val="lrTb"/>
            <w:noWrap w:val="false"/>
          </w:tcPr>
          <w:p>
            <w:pPr>
              <w:jc w:val="center"/>
              <w:rPr>
                <w:rFonts w:hint="eastAsia" w:ascii="宋体" w:hAnsi="宋体" w:cs="宋体"/>
                <w:bCs/>
                <w:color w:val="000000" w:themeColor="text1"/>
                <w:szCs w:val="2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175895</wp:posOffset>
                      </wp:positionH>
                      <wp:positionV relativeFrom="paragraph">
                        <wp:posOffset>103505</wp:posOffset>
                      </wp:positionV>
                      <wp:extent cx="1531620" cy="2042795"/>
                      <wp:effectExtent l="0" t="0" r="11430" b="14604"/>
                      <wp:wrapSquare wrapText="bothSides"/>
                      <wp:docPr id="14" name="图片 13" descr="166358045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3" descr="1663580458100"/>
                              <pic:cNvPicPr>
                                <a:picLocks noChangeAspect="1"/>
                              </pic:cNvPicPr>
                              <pic:nvPr/>
                            </pic:nvPicPr>
                            <pic:blipFill>
                              <a:blip r:embed="rId30"/>
                              <a:stretch/>
                            </pic:blipFill>
                            <pic:spPr bwMode="auto">
                              <a:xfrm>
                                <a:off x="0" y="0"/>
                                <a:ext cx="1531620" cy="2042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13.8pt;mso-position-horizontal:absolute;mso-position-vertical-relative:text;margin-top:8.2pt;mso-position-vertical:absolute;width:120.6pt;height:160.8pt;mso-wrap-distance-left:9.0pt;mso-wrap-distance-top:0.0pt;mso-wrap-distance-right:9.0pt;mso-wrap-distance-bottom:0.0pt;" stroked="f">
                      <v:path textboxrect="0,0,0,0"/>
                      <w10:wrap type="square"/>
                      <v:imagedata r:id="rId30" o:title=""/>
                    </v:shape>
                  </w:pict>
                </mc:Fallback>
              </mc:AlternateContent>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材质：钠钙玻璃+口服液瓶用铝盖。</w:t>
            </w:r>
            <w:r/>
          </w:p>
          <w:p>
            <w:pPr>
              <w:rPr>
                <w:color w:val="000000" w:themeColor="text1"/>
              </w:rPr>
            </w:pPr>
            <w:r>
              <w:rPr>
                <w:rFonts w:hint="eastAsia" w:ascii="宋体" w:hAnsi="宋体" w:cs="宋体"/>
                <w:color w:val="000000" w:themeColor="text1"/>
                <w:szCs w:val="21"/>
              </w:rPr>
              <w:t xml:space="preserve">符合</w:t>
            </w:r>
            <w:r>
              <w:rPr>
                <w:rFonts w:hint="eastAsia" w:ascii="宋体" w:hAnsi="宋体" w:cs="宋体"/>
                <w:bCs/>
                <w:color w:val="000000" w:themeColor="text1"/>
                <w:szCs w:val="22"/>
              </w:rPr>
              <w:t xml:space="preserve">国家药包材标准：</w:t>
            </w:r>
            <w:r>
              <w:rPr>
                <w:rFonts w:hint="eastAsia" w:ascii="宋体" w:hAnsi="宋体" w:cs="宋体"/>
                <w:color w:val="000000" w:themeColor="text1"/>
                <w:szCs w:val="21"/>
              </w:rPr>
              <w:t xml:space="preserve">YBB00272002-2015、YBB00</w:t>
            </w:r>
            <w:r>
              <w:rPr>
                <w:rFonts w:hint="eastAsia" w:ascii="宋体" w:hAnsi="宋体" w:cs="宋体"/>
                <w:color w:val="000000" w:themeColor="text1"/>
              </w:rPr>
              <w:t xml:space="preserve">382003-2015</w:t>
            </w:r>
            <w:r>
              <w:rPr>
                <w:rFonts w:hint="eastAsia" w:ascii="宋体" w:hAnsi="宋体" w:cs="宋体"/>
                <w:color w:val="000000" w:themeColor="text1"/>
                <w:szCs w:val="21"/>
              </w:rPr>
              <w:t xml:space="preserve">等相关标准，具有药包材注册证或药包材登记号。玻璃瓶不能有破损，瓶盖密封。</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口径28mm</w:t>
            </w:r>
            <w:r>
              <w:rPr>
                <w:rFonts w:hint="eastAsia" w:ascii="宋体" w:hAnsi="宋体" w:cs="宋体"/>
                <w:color w:val="000000" w:themeColor="text1"/>
                <w:szCs w:val="22"/>
              </w:rPr>
              <w:t xml:space="preserve">（±0.3mm）</w:t>
            </w:r>
            <w:r>
              <w:rPr>
                <w:rFonts w:hint="eastAsia" w:ascii="宋体" w:hAnsi="宋体" w:cs="宋体"/>
                <w:color w:val="000000" w:themeColor="text1"/>
                <w:szCs w:val="21"/>
              </w:rPr>
              <w:t xml:space="preserve">，外径49mm</w:t>
            </w:r>
            <w:r>
              <w:rPr>
                <w:rFonts w:hint="eastAsia" w:ascii="宋体" w:hAnsi="宋体" w:cs="宋体"/>
                <w:color w:val="000000" w:themeColor="text1"/>
                <w:szCs w:val="22"/>
              </w:rPr>
              <w:t xml:space="preserve">（±0.5mm）</w:t>
            </w:r>
            <w:r>
              <w:rPr>
                <w:rFonts w:hint="eastAsia" w:ascii="宋体" w:hAnsi="宋体" w:cs="宋体"/>
                <w:color w:val="000000" w:themeColor="text1"/>
                <w:szCs w:val="21"/>
              </w:rPr>
              <w:t xml:space="preserve">，高度114mm</w:t>
            </w:r>
            <w:r>
              <w:rPr>
                <w:rFonts w:hint="eastAsia" w:ascii="宋体" w:hAnsi="宋体" w:cs="宋体"/>
                <w:color w:val="000000" w:themeColor="text1"/>
                <w:szCs w:val="22"/>
              </w:rPr>
              <w:t xml:space="preserve">（±1.2mm）</w:t>
            </w:r>
            <w:r/>
          </w:p>
        </w:tc>
      </w:tr>
      <w:tr>
        <w:trPr>
          <w:jc w:val="center"/>
          <w:trHeight w:val="2537"/>
        </w:trPr>
        <w:tc>
          <w:tcPr>
            <w:tcW w:w="709"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12</w:t>
            </w:r>
            <w:r/>
          </w:p>
        </w:tc>
        <w:tc>
          <w:tcPr>
            <w:tcW w:w="948"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棕色玻璃瓶</w:t>
            </w:r>
            <w:r/>
          </w:p>
        </w:tc>
        <w:tc>
          <w:tcPr>
            <w:tcW w:w="94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500ml</w:t>
            </w:r>
            <w:r/>
          </w:p>
        </w:tc>
        <w:tc>
          <w:tcPr>
            <w:tcW w:w="100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5400</w:t>
            </w:r>
            <w:r/>
          </w:p>
        </w:tc>
        <w:tc>
          <w:tcPr>
            <w:tcW w:w="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rPr>
              <w:t xml:space="preserve">套</w:t>
            </w:r>
            <w:r/>
          </w:p>
        </w:tc>
        <w:tc>
          <w:tcPr>
            <w:tcW w:w="139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1.71</w:t>
            </w:r>
            <w:r/>
          </w:p>
        </w:tc>
        <w:tc>
          <w:tcPr>
            <w:tcW w:w="130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9234</w:t>
            </w:r>
            <w:r/>
          </w:p>
        </w:tc>
        <w:tc>
          <w:tcPr>
            <w:tcW w:w="29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mc:AlternateContent>
                <mc:Choice Requires="wpg">
                  <w:drawing>
                    <wp:inline xmlns:wp="http://schemas.openxmlformats.org/drawingml/2006/wordprocessingDrawing" distT="0" distB="0" distL="0" distR="0">
                      <wp:extent cx="1485265" cy="1546225"/>
                      <wp:effectExtent l="0" t="0" r="635" b="15875"/>
                      <wp:docPr id="15" name="图片 25" descr="300290bc0fd8fb3c37cc6599152d9c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300290bc0fd8fb3c37cc6599152d9c35"/>
                              <pic:cNvPicPr>
                                <a:picLocks noChangeAspect="1"/>
                              </pic:cNvPicPr>
                              <pic:nvPr/>
                            </pic:nvPicPr>
                            <pic:blipFill>
                              <a:blip r:embed="rId31"/>
                              <a:srcRect l="13813" t="23388" r="24688" b="28623"/>
                              <a:stretch/>
                            </pic:blipFill>
                            <pic:spPr bwMode="auto">
                              <a:xfrm>
                                <a:off x="0" y="0"/>
                                <a:ext cx="1485265" cy="15462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6.9pt;height:121.8pt;mso-wrap-distance-left:0.0pt;mso-wrap-distance-top:0.0pt;mso-wrap-distance-right:0.0pt;mso-wrap-distance-bottom:0.0pt;" stroked="false">
                      <v:path textboxrect="0,0,0,0"/>
                      <v:imagedata r:id="rId31" o:title=""/>
                    </v:shape>
                  </w:pict>
                </mc:Fallback>
              </mc:AlternateContent>
            </w:r>
            <w:r/>
          </w:p>
        </w:tc>
        <w:tc>
          <w:tcPr>
            <w:tcW w:w="2233" w:type="dxa"/>
            <w:vAlign w:val="center"/>
            <w:textDirection w:val="lrTb"/>
            <w:noWrap w:val="false"/>
          </w:tcPr>
          <w:p>
            <w:pPr>
              <w:spacing w:after="0"/>
              <w:rPr>
                <w:rFonts w:hint="eastAsia" w:ascii="宋体" w:hAnsi="宋体" w:cs="宋体"/>
                <w:strike/>
                <w:color w:val="000000" w:themeColor="text1"/>
                <w:szCs w:val="21"/>
              </w:rPr>
            </w:pPr>
            <w:r>
              <w:rPr>
                <w:rFonts w:hint="eastAsia" w:ascii="宋体" w:hAnsi="宋体" w:cs="宋体"/>
                <w:color w:val="000000" w:themeColor="text1"/>
                <w:szCs w:val="21"/>
              </w:rPr>
              <w:t xml:space="preserve">材质：钠钙玻璃+PE/PP盖。</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符合</w:t>
            </w:r>
            <w:r>
              <w:rPr>
                <w:rFonts w:hint="eastAsia" w:ascii="宋体" w:hAnsi="宋体" w:cs="宋体"/>
                <w:bCs/>
                <w:color w:val="000000" w:themeColor="text1"/>
                <w:szCs w:val="22"/>
              </w:rPr>
              <w:t xml:space="preserve">国家药包材标准：</w:t>
            </w:r>
            <w:r>
              <w:rPr>
                <w:rFonts w:hint="eastAsia" w:ascii="宋体" w:hAnsi="宋体" w:cs="宋体"/>
                <w:color w:val="000000" w:themeColor="text1"/>
                <w:szCs w:val="21"/>
              </w:rPr>
              <w:t xml:space="preserve">YBB00272002-2015等相关标准，具有药包材注册证或药包材登记号。玻璃瓶不能有破损，瓶盖密封。</w:t>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口径32mm</w:t>
            </w:r>
            <w:r>
              <w:rPr>
                <w:rFonts w:hint="eastAsia" w:ascii="宋体" w:hAnsi="宋体" w:cs="宋体"/>
                <w:color w:val="000000" w:themeColor="text1"/>
                <w:szCs w:val="22"/>
              </w:rPr>
              <w:t xml:space="preserve">（±0.3mm）</w:t>
            </w:r>
            <w:r>
              <w:rPr>
                <w:rFonts w:hint="eastAsia" w:ascii="宋体" w:hAnsi="宋体" w:cs="宋体"/>
                <w:color w:val="000000" w:themeColor="text1"/>
                <w:szCs w:val="21"/>
              </w:rPr>
              <w:t xml:space="preserve">，外径80.2mm</w:t>
            </w:r>
            <w:r>
              <w:rPr>
                <w:rFonts w:hint="eastAsia" w:ascii="宋体" w:hAnsi="宋体" w:cs="宋体"/>
                <w:color w:val="000000" w:themeColor="text1"/>
                <w:szCs w:val="22"/>
              </w:rPr>
              <w:t xml:space="preserve">（±1.5mm）</w:t>
            </w:r>
            <w:r>
              <w:rPr>
                <w:rFonts w:hint="eastAsia" w:ascii="宋体" w:hAnsi="宋体" w:cs="宋体"/>
                <w:color w:val="000000" w:themeColor="text1"/>
                <w:szCs w:val="21"/>
              </w:rPr>
              <w:t xml:space="preserve">，高度180mm</w:t>
            </w:r>
            <w:r>
              <w:rPr>
                <w:rFonts w:hint="eastAsia" w:ascii="宋体" w:hAnsi="宋体" w:cs="宋体"/>
                <w:color w:val="000000" w:themeColor="text1"/>
                <w:szCs w:val="22"/>
              </w:rPr>
              <w:t xml:space="preserve">（±1.5mm）</w:t>
            </w:r>
            <w:r/>
          </w:p>
        </w:tc>
      </w:tr>
      <w:tr>
        <w:trPr>
          <w:jc w:val="center"/>
          <w:trHeight w:val="355"/>
        </w:trPr>
        <w:tc>
          <w:tcPr>
            <w:gridSpan w:val="6"/>
            <w:tcW w:w="591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合计</w:t>
            </w:r>
            <w:r/>
          </w:p>
        </w:tc>
        <w:tc>
          <w:tcPr>
            <w:tcW w:w="130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948380</w:t>
            </w:r>
            <w:r/>
          </w:p>
        </w:tc>
        <w:tc>
          <w:tcPr>
            <w:tcW w:w="2951"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23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8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after="0" w:line="240" w:lineRule="auto"/>
        <w:rPr>
          <w:rFonts w:hint="eastAsia" w:ascii="宋体" w:hAnsi="宋体" w:cs="宋体"/>
          <w:b/>
          <w:color w:val="000000" w:themeColor="text1"/>
          <w:sz w:val="21"/>
        </w:rPr>
      </w:pPr>
      <w:r>
        <w:rPr>
          <w:rFonts w:hint="eastAsia" w:ascii="宋体" w:hAnsi="宋体" w:cs="宋体"/>
          <w:b/>
          <w:color w:val="000000" w:themeColor="text1"/>
          <w:sz w:val="21"/>
        </w:rPr>
        <w:t xml:space="preserve">备注：</w:t>
      </w:r>
      <w:r/>
    </w:p>
    <w:p>
      <w:pPr>
        <w:numPr>
          <w:ilvl w:val="0"/>
          <w:numId w:val="6"/>
        </w:numPr>
        <w:ind w:firstLine="420"/>
        <w:jc w:val="both"/>
        <w:spacing w:after="0" w:line="360" w:lineRule="auto"/>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t xml:space="preserve">以上药用包装材料图片仅供参考，为确保所投产品符合药包材标准、医院样式、规格、质量等要求，各响应供应商须自行踏勘现场，查看采购人现实际使用产品，确保正常使用。</w:t>
      </w:r>
      <w:r>
        <w:rPr>
          <w:rFonts w:hint="eastAsia" w:ascii="宋体" w:hAnsi="宋体" w:cs="宋体"/>
          <w:bCs/>
          <w:color w:val="000000" w:themeColor="text1"/>
          <w:sz w:val="21"/>
          <w:szCs w:val="21"/>
        </w:rPr>
        <w:t xml:space="preserve">（现场踏勘联系人：汪先生，联系号码：15961055430）</w:t>
      </w:r>
      <w:r/>
    </w:p>
    <w:p>
      <w:pPr>
        <w:ind w:firstLine="422"/>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259" w:right="1015" w:bottom="969" w:left="868" w:header="851" w:footer="340" w:gutter="0"/>
          <w:cols w:num="1" w:sep="0" w:space="720" w:equalWidth="1"/>
          <w:docGrid w:linePitch="360"/>
          <w:titlePg/>
        </w:sectPr>
      </w:pPr>
      <w:r>
        <w:rPr>
          <w:rFonts w:hint="eastAsia" w:ascii="宋体" w:hAnsi="宋体" w:cs="宋体"/>
          <w:b/>
          <w:color w:val="000000" w:themeColor="text1"/>
          <w:sz w:val="21"/>
        </w:rPr>
        <w:t xml:space="preserve">2、供应商需承诺，</w:t>
      </w:r>
      <w:r>
        <w:rPr>
          <w:rFonts w:hint="eastAsia" w:ascii="宋体" w:hAnsi="宋体" w:cs="宋体"/>
          <w:b/>
          <w:bCs/>
          <w:color w:val="000000" w:themeColor="text1"/>
          <w:sz w:val="21"/>
        </w:rPr>
        <w:t xml:space="preserve">所提供的产品能够在采购人制剂室现有配制设备中正常运行，并在合同签订前接受上机实验。如未能通过上机实验，采购人有权拒签合同。（格式）</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二、技术参数：</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bookmarkStart w:id="4" w:name="OLE_LINK7"/>
      <w:r>
        <w:rPr>
          <w:rFonts w:hint="eastAsia" w:ascii="宋体" w:hAnsi="宋体" w:cs="宋体"/>
          <w:bCs/>
          <w:color w:val="000000" w:themeColor="text1"/>
          <w:sz w:val="21"/>
          <w:szCs w:val="21"/>
        </w:rPr>
        <w:t xml:space="preserve">供应商提供的产品等均应</w:t>
      </w:r>
      <w:r>
        <w:rPr>
          <w:rFonts w:ascii="宋体" w:hAnsi="宋体" w:cs="宋体"/>
          <w:bCs/>
          <w:color w:val="000000" w:themeColor="text1"/>
          <w:sz w:val="21"/>
          <w:szCs w:val="21"/>
        </w:rPr>
        <w:t xml:space="preserve">符合</w:t>
      </w:r>
      <w:r>
        <w:rPr>
          <w:rFonts w:hint="eastAsia" w:ascii="宋体" w:hAnsi="宋体" w:cs="宋体"/>
          <w:bCs/>
          <w:color w:val="000000" w:themeColor="text1"/>
          <w:sz w:val="21"/>
          <w:szCs w:val="21"/>
        </w:rPr>
        <w:t xml:space="preserve">相应的国家</w:t>
      </w:r>
      <w:r>
        <w:rPr>
          <w:rFonts w:ascii="宋体" w:hAnsi="宋体" w:cs="宋体"/>
          <w:bCs/>
          <w:color w:val="000000" w:themeColor="text1"/>
          <w:sz w:val="21"/>
          <w:szCs w:val="21"/>
        </w:rPr>
        <w:t xml:space="preserve">标准</w:t>
      </w:r>
      <w:r>
        <w:rPr>
          <w:rFonts w:hint="eastAsia" w:ascii="宋体" w:hAnsi="宋体" w:cs="宋体"/>
          <w:bCs/>
          <w:color w:val="000000" w:themeColor="text1"/>
          <w:sz w:val="21"/>
          <w:szCs w:val="21"/>
        </w:rPr>
        <w:t xml:space="preserve">或行业标准</w:t>
      </w:r>
      <w:r>
        <w:rPr>
          <w:rFonts w:ascii="宋体" w:hAnsi="宋体" w:cs="宋体"/>
          <w:bCs/>
          <w:color w:val="000000" w:themeColor="text1"/>
          <w:sz w:val="21"/>
          <w:szCs w:val="21"/>
        </w:rPr>
        <w:t xml:space="preserve">，</w:t>
      </w:r>
      <w:r>
        <w:rPr>
          <w:rFonts w:hint="eastAsia" w:ascii="宋体" w:hAnsi="宋体" w:cs="宋体"/>
          <w:bCs/>
          <w:color w:val="000000" w:themeColor="text1"/>
          <w:sz w:val="21"/>
          <w:szCs w:val="21"/>
        </w:rPr>
        <w:t xml:space="preserve">属于已批准在上市制剂使用的包材，并在国家药品监督管理局药品审评中心药包材登记数据库可查询，且与制剂共同审评审批结果为A，</w:t>
      </w:r>
      <w:r>
        <w:rPr>
          <w:rFonts w:ascii="宋体" w:hAnsi="宋体" w:cs="宋体"/>
          <w:bCs/>
          <w:color w:val="000000" w:themeColor="text1"/>
          <w:sz w:val="21"/>
          <w:szCs w:val="21"/>
        </w:rPr>
        <w:t xml:space="preserve">具有药包材注册证或药包材登记号，</w:t>
      </w:r>
      <w:r>
        <w:rPr>
          <w:rFonts w:hint="eastAsia" w:ascii="宋体" w:hAnsi="宋体" w:cs="宋体"/>
          <w:bCs/>
          <w:color w:val="000000" w:themeColor="text1"/>
          <w:sz w:val="21"/>
          <w:szCs w:val="21"/>
        </w:rPr>
        <w:t xml:space="preserve">所有产品可追根溯源。</w:t>
      </w:r>
      <w:r/>
    </w:p>
    <w:p>
      <w:pPr>
        <w:ind w:firstLine="420"/>
        <w:jc w:val="both"/>
        <w:spacing w:after="0" w:line="360" w:lineRule="auto"/>
        <w:rPr>
          <w:rFonts w:hint="eastAsia" w:ascii="宋体" w:hAnsi="宋体" w:cs="宋体"/>
          <w:b/>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w:t>
      </w:r>
      <w:r>
        <w:rPr>
          <w:rFonts w:hint="eastAsia" w:ascii="宋体" w:hAnsi="宋体" w:cs="宋体"/>
          <w:b/>
          <w:bCs/>
          <w:color w:val="000000" w:themeColor="text1"/>
          <w:szCs w:val="21"/>
        </w:rPr>
        <w:t xml:space="preserve">20ml塑料瓶技术要求</w:t>
      </w:r>
      <w:r/>
    </w:p>
    <w:tbl>
      <w:tblPr>
        <w:tblW w:w="8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674"/>
        <w:gridCol w:w="1480"/>
        <w:gridCol w:w="4530"/>
        <w:gridCol w:w="923"/>
      </w:tblGrid>
      <w:tr>
        <w:trPr>
          <w:jc w:val="center"/>
        </w:trPr>
        <w:tc>
          <w:tcPr>
            <w:gridSpan w:val="3"/>
            <w:tcW w:w="3253"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30"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23"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均匀一致的色泽，不得有明显色差；瓶的表面应光滑平整，不得有变形和明显的擦痕。不得有砂眼、油污、气泡。瓶口平整、光滑。整体透光度好；2、装液封口经高温（100-110℃）消毒后应外形圆润、不凸不凹；</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2、密封性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高温烫口后，抽真空度为27kPa，维持2分钟，瓶内不得有进水或冒泡现象</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3、抗跌落</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装液后从1.5m高度跌落至刚性表面，不得破裂。</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4、水蒸气透过量</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静置14天，液体重量损失率不得过0.2%</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▲5、微生物限度</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细菌数不得过100cfu/瓶</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霉菌、酵母菌数不得过100cfu/瓶</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大肠埃希菌不得检出</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▲6、溶出物试验</w:t>
            </w:r>
            <w:r/>
          </w:p>
        </w:tc>
        <w:tc>
          <w:tcPr>
            <w:gridSpan w:val="2"/>
            <w:tcBorders>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澄清度</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溶液应澄清</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重金属</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不得超过百万分之一</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PH变化值</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二者之差不得过1.0</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吸光度</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最大吸光度不得过0.1</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易氧化物</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二者消耗高锰酸钾滴定液之差不得过1.5ml</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炽灼残渣</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遗留残渣不得过0.1%</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right w:val="single" w:color="auto" w:sz="4" w:space="0"/>
            </w:tcBorders>
            <w:tcW w:w="674"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不挥发物</w:t>
            </w:r>
            <w:r/>
          </w:p>
        </w:tc>
        <w:tc>
          <w:tcPr>
            <w:tcBorders>
              <w:top w:val="single" w:color="auto" w:sz="4" w:space="0"/>
              <w:left w:val="single" w:color="auto" w:sz="4" w:space="0"/>
              <w:bottom w:val="single" w:color="auto" w:sz="4" w:space="0"/>
            </w:tcBorders>
            <w:tcW w:w="148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水浸液</w:t>
            </w:r>
            <w:r/>
          </w:p>
        </w:tc>
        <w:tc>
          <w:tcPr>
            <w:tcBorders>
              <w:bottom w:val="single" w:color="auto" w:sz="4" w:space="0"/>
            </w:tcBorders>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与其空白液残渣之差不得过12mg</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4"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bottom w:val="single" w:color="auto" w:sz="4" w:space="0"/>
            </w:tcBorders>
            <w:tcW w:w="148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65%乙醇浸液</w:t>
            </w:r>
            <w:r/>
          </w:p>
        </w:tc>
        <w:tc>
          <w:tcPr>
            <w:tcBorders>
              <w:top w:val="single" w:color="auto" w:sz="4" w:space="0"/>
              <w:bottom w:val="single" w:color="auto" w:sz="4" w:space="0"/>
            </w:tcBorders>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与其空白液残渣之差不得过50mg</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4"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tcBorders>
            <w:tcW w:w="148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正己烷浸液</w:t>
            </w:r>
            <w:r/>
          </w:p>
        </w:tc>
        <w:tc>
          <w:tcPr>
            <w:tcBorders>
              <w:top w:val="single" w:color="auto" w:sz="4" w:space="0"/>
            </w:tcBorders>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与其空白液残渣之差不得过75mg</w:t>
            </w:r>
            <w:r/>
          </w:p>
        </w:tc>
        <w:tc>
          <w:tcPr>
            <w:tcW w:w="92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220"/>
        <w:rPr>
          <w:rFonts w:hint="eastAsia" w:ascii="宋体" w:hAnsi="宋体" w:cs="宋体"/>
          <w:color w:val="000000" w:themeColor="text1"/>
          <w:szCs w:val="21"/>
        </w:rPr>
      </w:pPr>
      <w:r>
        <w:rPr>
          <w:rFonts w:hint="eastAsia" w:ascii="宋体" w:hAnsi="宋体" w:cs="宋体"/>
          <w:color w:val="000000" w:themeColor="text1"/>
          <w:szCs w:val="21"/>
        </w:rPr>
      </w:r>
      <w:r/>
    </w:p>
    <w:p>
      <w:pPr>
        <w:ind w:firstLine="442"/>
        <w:rPr>
          <w:rFonts w:hint="eastAsia" w:ascii="宋体" w:hAnsi="宋体" w:cs="宋体"/>
          <w:b/>
          <w:bCs/>
          <w:color w:val="000000" w:themeColor="text1"/>
          <w:szCs w:val="21"/>
        </w:rPr>
      </w:pPr>
      <w:r>
        <w:rPr>
          <w:rFonts w:hint="eastAsia" w:ascii="宋体" w:hAnsi="宋体" w:cs="宋体"/>
          <w:b/>
          <w:bCs/>
          <w:color w:val="000000" w:themeColor="text1"/>
          <w:szCs w:val="21"/>
        </w:rPr>
        <w:t xml:space="preserve">2、30ml、100ml塑料瓶技术要求</w:t>
      </w:r>
      <w:r/>
    </w:p>
    <w:tbl>
      <w:tblPr>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676"/>
        <w:gridCol w:w="1476"/>
        <w:gridCol w:w="4550"/>
        <w:gridCol w:w="893"/>
      </w:tblGrid>
      <w:tr>
        <w:trPr>
          <w:jc w:val="center"/>
        </w:trPr>
        <w:tc>
          <w:tcPr>
            <w:gridSpan w:val="3"/>
            <w:tcW w:w="325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5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89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1、均匀一致的色泽，不得有明显色差；瓶的表面应光滑平整，不得有变形和明显的擦痕。不得有砂眼、油污、气泡。瓶口平整、光滑；</w:t>
            </w:r>
            <w:r/>
          </w:p>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2、配件：配备材质一致的瓶盖，瓶、盖配合适宜，瓶盖相关技术参数要求同瓶体</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2、密封性</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用水浸没，抽真空度为27kPa，维持2分钟，瓶内不得有进水或冒泡现象；瓶口与瓶盖配合适宜，不得滑牙</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3、抗跌落</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装液后从1.2m高度跌落至刚性表面，不得破裂。</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4、水蒸气透过量</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静置14天，液体重量损失率不得过0.2%</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▲5、微生物限度</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细菌数不得过100cfu/瓶</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霉菌、酵母菌数不得过100cfu/瓶</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金黄色葡萄球菌、铜绿假单细胞不得检出</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▲6、溶出物试验</w:t>
            </w:r>
            <w:r/>
          </w:p>
        </w:tc>
        <w:tc>
          <w:tcPr>
            <w:gridSpan w:val="2"/>
            <w:tcBorders>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澄清度</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溶液应澄清</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重金属</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不得超过百万分之一</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PH变化值</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二者之差不得过1.0</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吸光度</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最大吸光度不得过0.1</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易氧化物</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二者消耗高锰酸钾滴定液之差不得过1.5ml</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52"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炽灼残渣</w:t>
            </w:r>
            <w:r/>
          </w:p>
        </w:tc>
        <w:tc>
          <w:tcPr>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遗留残渣不得过0.1%</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right w:val="single" w:color="auto" w:sz="4" w:space="0"/>
            </w:tcBorders>
            <w:tcW w:w="676"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不挥发物</w:t>
            </w:r>
            <w:r/>
          </w:p>
        </w:tc>
        <w:tc>
          <w:tcPr>
            <w:tcBorders>
              <w:top w:val="single" w:color="auto" w:sz="4" w:space="0"/>
              <w:left w:val="single" w:color="auto" w:sz="4" w:space="0"/>
              <w:bottom w:val="single" w:color="auto" w:sz="4" w:space="0"/>
            </w:tcBorders>
            <w:tcW w:w="1476"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水浸液</w:t>
            </w:r>
            <w:r/>
          </w:p>
        </w:tc>
        <w:tc>
          <w:tcPr>
            <w:tcBorders>
              <w:bottom w:val="single" w:color="auto" w:sz="4" w:space="0"/>
            </w:tcBorders>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与其空白液残渣之差不得过12mg</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6"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bottom w:val="single" w:color="auto" w:sz="4" w:space="0"/>
            </w:tcBorders>
            <w:tcW w:w="1476"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65%乙醇浸液</w:t>
            </w:r>
            <w:r/>
          </w:p>
        </w:tc>
        <w:tc>
          <w:tcPr>
            <w:tcBorders>
              <w:top w:val="single" w:color="auto" w:sz="4" w:space="0"/>
              <w:bottom w:val="single" w:color="auto" w:sz="4" w:space="0"/>
            </w:tcBorders>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与其空白液残渣之差不得过50mg</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101"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6"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tcBorders>
            <w:tcW w:w="1476"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正己烷浸液</w:t>
            </w:r>
            <w:r/>
          </w:p>
        </w:tc>
        <w:tc>
          <w:tcPr>
            <w:tcBorders>
              <w:top w:val="single" w:color="auto" w:sz="4" w:space="0"/>
            </w:tcBorders>
            <w:tcW w:w="455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与其空白液残渣之差不得过75mg</w:t>
            </w:r>
            <w:r/>
          </w:p>
        </w:tc>
        <w:tc>
          <w:tcPr>
            <w:tcW w:w="89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220"/>
        <w:rPr>
          <w:rFonts w:hint="eastAsia" w:ascii="宋体" w:hAnsi="宋体" w:cs="宋体"/>
          <w:color w:val="000000" w:themeColor="text1"/>
          <w:szCs w:val="21"/>
        </w:rPr>
      </w:pPr>
      <w:r>
        <w:rPr>
          <w:rFonts w:hint="eastAsia" w:ascii="宋体" w:hAnsi="宋体" w:cs="宋体"/>
          <w:color w:val="000000" w:themeColor="text1"/>
          <w:szCs w:val="21"/>
        </w:rPr>
      </w:r>
      <w:r/>
    </w:p>
    <w:p>
      <w:pPr>
        <w:ind w:firstLine="442"/>
        <w:rPr>
          <w:rFonts w:hint="eastAsia" w:ascii="宋体" w:hAnsi="宋体" w:cs="宋体"/>
          <w:b/>
          <w:bCs/>
          <w:color w:val="000000" w:themeColor="text1"/>
          <w:szCs w:val="21"/>
        </w:rPr>
      </w:pPr>
      <w:r>
        <w:rPr>
          <w:rFonts w:hint="eastAsia" w:ascii="宋体" w:hAnsi="宋体" w:cs="宋体"/>
          <w:b/>
          <w:bCs/>
          <w:color w:val="000000" w:themeColor="text1"/>
          <w:szCs w:val="21"/>
        </w:rPr>
        <w:t xml:space="preserve">3、30软膏管技术要求</w:t>
      </w:r>
      <w:r/>
    </w:p>
    <w:tbl>
      <w:tblPr>
        <w:tblW w:w="8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674"/>
        <w:gridCol w:w="1490"/>
        <w:gridCol w:w="4540"/>
        <w:gridCol w:w="903"/>
      </w:tblGrid>
      <w:tr>
        <w:trPr>
          <w:jc w:val="center"/>
        </w:trPr>
        <w:tc>
          <w:tcPr>
            <w:gridSpan w:val="3"/>
            <w:tcW w:w="3263"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40"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03" w:type="dxa"/>
            <w:vAlign w:val="center"/>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1、不得有歪管肩及管肩缺料、磨损、拉毛和明显皱纹。管身应光洁平整、无塑料破损现象；管内外洁净，不得有刮伤、碰伤、加工残屑及其他异物；</w:t>
            </w:r>
            <w:r/>
          </w:p>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2、配备材质一致的瓶盖，瓶、盖配合适宜，瓶盖相关技术参数要求同瓶体</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2、密封性</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在扭矩30～90N.m条件下，管盖与管身应配合适宜，不得滑牙</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3、耐压强度</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扭矩30～90N.m，将压缩空气从管尾加入，空气压力为0.2MPa，置20℃水浴中，持续加压30秒，不得破裂，且焊缝处应无气泡产生。</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4、水蒸气透过量</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静置14天，液体重量损失率不得过0.2%</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▲5、微生物限度</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细菌数不得过100cfu/瓶</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霉菌、酵母菌数不得过100cfu/瓶</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金黄色葡萄球菌、铜绿假单细胞不得检出</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6、管身热合强度</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不低于70N/15mm</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3"/>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7、管尾热合强度</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不低于20N/15mm</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▲8、溶出物试验</w:t>
            </w:r>
            <w:r/>
          </w:p>
        </w:tc>
        <w:tc>
          <w:tcPr>
            <w:gridSpan w:val="2"/>
            <w:tcBorders>
              <w:left w:val="single" w:color="auto" w:sz="4" w:space="0"/>
              <w:bottom w:val="single" w:color="auto" w:sz="4" w:space="0"/>
            </w:tcBorders>
            <w:tcW w:w="216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重金属</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不得超过百万分之一</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6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PH变化值</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二者之差不得过1.0</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bottom w:val="single" w:color="auto" w:sz="4" w:space="0"/>
            </w:tcBorders>
            <w:tcW w:w="216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吸光度</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最大吸光度不得过0.1</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493"/>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top w:val="single" w:color="auto" w:sz="4" w:space="0"/>
              <w:left w:val="single" w:color="auto" w:sz="4" w:space="0"/>
            </w:tcBorders>
            <w:tcW w:w="216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易氧化物</w:t>
            </w:r>
            <w:r/>
          </w:p>
        </w:tc>
        <w:tc>
          <w:tcPr>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二者消耗硫代硫酸钠滴定液（0.01mol/L）之差不得过1.0ml</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right w:val="single" w:color="auto" w:sz="4" w:space="0"/>
            </w:tcBorders>
            <w:tcW w:w="674"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不挥发物</w:t>
            </w:r>
            <w:r/>
          </w:p>
        </w:tc>
        <w:tc>
          <w:tcPr>
            <w:tcBorders>
              <w:top w:val="single" w:color="auto" w:sz="4" w:space="0"/>
              <w:left w:val="single" w:color="auto" w:sz="4" w:space="0"/>
              <w:bottom w:val="single" w:color="auto" w:sz="4" w:space="0"/>
            </w:tcBorders>
            <w:tcW w:w="149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水浸液</w:t>
            </w:r>
            <w:r/>
          </w:p>
        </w:tc>
        <w:tc>
          <w:tcPr>
            <w:tcBorders>
              <w:bottom w:val="single" w:color="auto" w:sz="4" w:space="0"/>
            </w:tcBorders>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与其空白液残渣之差不得过12mg</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4"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bottom w:val="single" w:color="auto" w:sz="4" w:space="0"/>
            </w:tcBorders>
            <w:tcW w:w="149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65%乙醇浸液</w:t>
            </w:r>
            <w:r/>
          </w:p>
        </w:tc>
        <w:tc>
          <w:tcPr>
            <w:tcBorders>
              <w:top w:val="single" w:color="auto" w:sz="4" w:space="0"/>
              <w:bottom w:val="single" w:color="auto" w:sz="4" w:space="0"/>
            </w:tcBorders>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与其空白液残渣之差不得过50mg</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099"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right w:val="single" w:color="auto" w:sz="4" w:space="0"/>
            </w:tcBorders>
            <w:tcW w:w="674"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single" w:color="auto" w:sz="4" w:space="0"/>
            </w:tcBorders>
            <w:tcW w:w="149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正己烷浸液</w:t>
            </w:r>
            <w:r/>
          </w:p>
        </w:tc>
        <w:tc>
          <w:tcPr>
            <w:tcBorders>
              <w:top w:val="single" w:color="auto" w:sz="4" w:space="0"/>
            </w:tcBorders>
            <w:tcW w:w="454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与其空白液残渣之差不得过75mg</w:t>
            </w:r>
            <w:r/>
          </w:p>
        </w:tc>
        <w:tc>
          <w:tcPr>
            <w:tcW w:w="90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0"/>
        <w:rPr>
          <w:rFonts w:hint="eastAsia" w:ascii="宋体" w:hAnsi="宋体" w:cs="宋体"/>
          <w:b/>
          <w:color w:val="000000" w:themeColor="text1"/>
          <w:szCs w:val="21"/>
        </w:rPr>
      </w:pPr>
      <w:r>
        <w:rPr>
          <w:rFonts w:hint="eastAsia" w:ascii="宋体" w:hAnsi="宋体" w:cs="宋体"/>
          <w:b/>
          <w:color w:val="000000" w:themeColor="text1"/>
          <w:szCs w:val="21"/>
        </w:rPr>
      </w:r>
      <w:r/>
    </w:p>
    <w:p>
      <w:pPr>
        <w:pStyle w:val="851"/>
        <w:ind w:firstLine="442"/>
        <w:rPr>
          <w:rFonts w:hint="eastAsia" w:ascii="宋体" w:hAnsi="宋体" w:cs="宋体"/>
          <w:b/>
          <w:bCs/>
          <w:color w:val="000000" w:themeColor="text1"/>
          <w:szCs w:val="21"/>
        </w:rPr>
      </w:pPr>
      <w:r>
        <w:rPr>
          <w:rFonts w:hint="eastAsia" w:ascii="宋体" w:hAnsi="宋体" w:cs="宋体"/>
          <w:b/>
          <w:color w:val="000000" w:themeColor="text1"/>
          <w:szCs w:val="21"/>
        </w:rPr>
        <w:t xml:space="preserve">4、26B口100ml、250ml输液瓶技术要求</w:t>
      </w:r>
      <w:r/>
    </w:p>
    <w:tbl>
      <w:tblPr>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5"/>
        <w:gridCol w:w="2058"/>
        <w:gridCol w:w="4520"/>
        <w:gridCol w:w="924"/>
      </w:tblGrid>
      <w:tr>
        <w:trPr>
          <w:jc w:val="center"/>
        </w:trPr>
        <w:tc>
          <w:tcPr>
            <w:gridSpan w:val="2"/>
            <w:tcW w:w="327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2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24"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 </w:t>
            </w:r>
            <w:r/>
          </w:p>
        </w:tc>
      </w:tr>
      <w:tr>
        <w:trPr>
          <w:jc w:val="center"/>
        </w:trPr>
        <w:tc>
          <w:tcPr>
            <w:tcBorders>
              <w:right w:val="single" w:color="auto" w:sz="4" w:space="0"/>
            </w:tcBorders>
            <w:tcW w:w="1215"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Borders>
              <w:left w:val="single" w:color="auto" w:sz="4" w:space="0"/>
            </w:tcBorders>
            <w:tcW w:w="205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裂纹</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任何部位都不得有裂纹</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tcBorders>
            <w:tcW w:w="205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气泡</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任何表面气泡和破气泡都不得有</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tcBorders>
            <w:tcW w:w="205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结石</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瓶口面不得有任何结石</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Borders>
              <w:left w:val="single" w:color="auto" w:sz="4" w:space="0"/>
            </w:tcBorders>
            <w:tcW w:w="205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配件</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配备注射液用卤化丁基橡胶塞、输液瓶用铝塑组合盖</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2、刻度线、字、标记</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刻度宽不得过0.8mm，外凸不得过0.4mm；清晰可见</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3、合缝线</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瓶口凸出测量不得过0.3mm，其他部位凸出测量不得过0.5mm</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4、内表面耐水性</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每100ml浸提液消耗盐酸滴定液（0.01mol/L）的最大值（ml）小于0.4ml（HC2级标准）</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5、121℃颗粒耐水性</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每一克玻璃颗粒耗用盐酸滴定液（0.02mol/L）的体积（ml）：0.10～0.85</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▲6、热稳定性</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121℃恒温30ml不破裂</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7、抗热冲击</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经受42度温差热震不破裂</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8、耐内压力</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经受0.6MPa试验不破裂</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9、内应力</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热处理后最大应力造成的光程差不超过40nm/mm</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10、线膨胀系数</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（7.6～9.0）*10</w:t>
            </w:r>
            <w:r>
              <w:rPr>
                <w:rFonts w:hint="eastAsia" w:ascii="宋体" w:hAnsi="宋体" w:cs="宋体"/>
                <w:color w:val="000000" w:themeColor="text1"/>
                <w:szCs w:val="21"/>
                <w:vertAlign w:val="superscript"/>
              </w:rPr>
              <w:t xml:space="preserve">-6</w:t>
            </w:r>
            <w:r>
              <w:rPr>
                <w:rFonts w:hint="eastAsia" w:ascii="宋体" w:hAnsi="宋体" w:cs="宋体"/>
                <w:color w:val="000000" w:themeColor="text1"/>
                <w:szCs w:val="21"/>
              </w:rPr>
              <w:t xml:space="preserve">K</w:t>
            </w:r>
            <w:r>
              <w:rPr>
                <w:rFonts w:hint="eastAsia" w:ascii="宋体" w:hAnsi="宋体" w:cs="宋体"/>
                <w:color w:val="000000" w:themeColor="text1"/>
                <w:szCs w:val="21"/>
                <w:vertAlign w:val="superscript"/>
              </w:rPr>
              <w:t xml:space="preserve">-1</w:t>
            </w:r>
            <w:r>
              <w:rPr>
                <w:rFonts w:hint="eastAsia" w:ascii="宋体" w:hAnsi="宋体" w:cs="宋体"/>
                <w:color w:val="000000" w:themeColor="text1"/>
                <w:szCs w:val="21"/>
              </w:rPr>
              <w:t xml:space="preserve">(20~300)℃</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▲11、砷、锑、铅、镉浸出量</w:t>
            </w:r>
            <w:r/>
          </w:p>
        </w:tc>
        <w:tc>
          <w:tcPr>
            <w:tcW w:w="452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砷浸出量：不得过0.2mg</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2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锑浸出量：不得过0.7mg</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2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铅浸出量：不得过1.0mg</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7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2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镉浸出量：不得过0.25mg</w:t>
            </w:r>
            <w:r/>
          </w:p>
        </w:tc>
        <w:tc>
          <w:tcPr>
            <w:tcW w:w="924"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0"/>
        <w:rPr>
          <w:rFonts w:hint="eastAsia" w:ascii="宋体" w:hAnsi="宋体" w:cs="宋体"/>
          <w:b/>
          <w:color w:val="000000" w:themeColor="text1"/>
          <w:szCs w:val="21"/>
        </w:rPr>
      </w:pPr>
      <w:r>
        <w:rPr>
          <w:rFonts w:hint="eastAsia" w:ascii="宋体" w:hAnsi="宋体" w:cs="宋体"/>
          <w:b/>
          <w:color w:val="000000" w:themeColor="text1"/>
          <w:szCs w:val="21"/>
        </w:rPr>
      </w:r>
      <w:r/>
    </w:p>
    <w:p>
      <w:pPr>
        <w:pStyle w:val="851"/>
        <w:ind w:firstLine="442"/>
        <w:rPr>
          <w:rFonts w:hint="eastAsia" w:ascii="宋体" w:hAnsi="宋体" w:cs="宋体"/>
          <w:b/>
          <w:bCs/>
          <w:color w:val="000000" w:themeColor="text1"/>
          <w:szCs w:val="21"/>
        </w:rPr>
      </w:pPr>
      <w:r>
        <w:rPr>
          <w:rFonts w:hint="eastAsia" w:ascii="宋体" w:hAnsi="宋体" w:cs="宋体"/>
          <w:b/>
          <w:color w:val="000000" w:themeColor="text1"/>
          <w:szCs w:val="21"/>
        </w:rPr>
        <w:t xml:space="preserve">5、272ml玻璃瓶技术要求</w:t>
      </w:r>
      <w:r/>
    </w:p>
    <w:tbl>
      <w:tblPr>
        <w:tblW w:w="8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5"/>
        <w:gridCol w:w="2048"/>
        <w:gridCol w:w="4530"/>
        <w:gridCol w:w="913"/>
      </w:tblGrid>
      <w:tr>
        <w:trPr>
          <w:jc w:val="center"/>
        </w:trPr>
        <w:tc>
          <w:tcPr>
            <w:gridSpan w:val="2"/>
            <w:tcW w:w="326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3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1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tcBorders>
              <w:right w:val="single" w:color="auto" w:sz="4" w:space="0"/>
            </w:tcBorders>
            <w:tcW w:w="1215"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Borders>
              <w:left w:val="single" w:color="auto" w:sz="4" w:space="0"/>
            </w:tcBorders>
            <w:tcW w:w="2048" w:type="dxa"/>
            <w:textDirection w:val="lrTb"/>
            <w:noWrap w:val="false"/>
          </w:tcPr>
          <w:p>
            <w:pPr>
              <w:pStyle w:val="851"/>
              <w:ind w:firstLine="0"/>
              <w:jc w:val="center"/>
              <w:rPr>
                <w:rFonts w:hint="eastAsia" w:ascii="宋体" w:hAnsi="宋体" w:cs="宋体"/>
                <w:color w:val="000000" w:themeColor="text1"/>
                <w:szCs w:val="21"/>
              </w:rPr>
            </w:pPr>
            <w:r>
              <w:rPr>
                <w:rFonts w:hint="eastAsia" w:ascii="宋体" w:hAnsi="宋体" w:cs="宋体"/>
                <w:color w:val="000000" w:themeColor="text1"/>
                <w:szCs w:val="21"/>
              </w:rPr>
              <w:t xml:space="preserve">裂纹</w:t>
            </w:r>
            <w:r/>
          </w:p>
        </w:tc>
        <w:tc>
          <w:tcPr>
            <w:tcW w:w="4530" w:type="dxa"/>
            <w:textDirection w:val="lrTb"/>
            <w:noWrap w:val="false"/>
          </w:tcPr>
          <w:p>
            <w:pPr>
              <w:pStyle w:val="851"/>
              <w:ind w:firstLine="0"/>
              <w:jc w:val="center"/>
              <w:rPr>
                <w:rFonts w:hint="eastAsia" w:ascii="宋体" w:hAnsi="宋体" w:cs="宋体"/>
                <w:color w:val="000000" w:themeColor="text1"/>
                <w:szCs w:val="21"/>
              </w:rPr>
            </w:pPr>
            <w:r>
              <w:rPr>
                <w:rFonts w:hint="eastAsia" w:ascii="宋体" w:hAnsi="宋体" w:cs="宋体"/>
                <w:color w:val="000000" w:themeColor="text1"/>
                <w:szCs w:val="21"/>
              </w:rPr>
              <w:t xml:space="preserve">任何部位都不得有裂纹</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339"/>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left w:val="single" w:color="auto" w:sz="4" w:space="0"/>
            </w:tcBorders>
            <w:tcW w:w="6578" w:type="dxa"/>
            <w:textDirection w:val="lrTb"/>
            <w:noWrap w:val="false"/>
          </w:tcPr>
          <w:p>
            <w:pPr>
              <w:pStyle w:val="851"/>
              <w:ind w:firstLine="0"/>
              <w:jc w:val="center"/>
              <w:rPr>
                <w:rFonts w:hint="eastAsia" w:ascii="宋体" w:hAnsi="宋体" w:cs="宋体"/>
                <w:color w:val="000000" w:themeColor="text1"/>
                <w:szCs w:val="21"/>
              </w:rPr>
            </w:pPr>
            <w:r>
              <w:rPr>
                <w:rFonts w:hint="eastAsia" w:ascii="宋体" w:hAnsi="宋体" w:cs="宋体"/>
                <w:color w:val="000000" w:themeColor="text1"/>
                <w:szCs w:val="21"/>
              </w:rPr>
              <w:t xml:space="preserve">无色透明，表面光洁、平整，不应有明显的玻璃缺陷</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339"/>
        </w:trPr>
        <w:tc>
          <w:tcPr>
            <w:tcBorders>
              <w:right w:val="single" w:color="auto" w:sz="4" w:space="0"/>
            </w:tcBorders>
            <w:tcW w:w="1215"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left w:val="single" w:color="auto" w:sz="4" w:space="0"/>
            </w:tcBorders>
            <w:tcW w:w="6578" w:type="dxa"/>
            <w:textDirection w:val="lrTb"/>
            <w:noWrap w:val="false"/>
          </w:tcPr>
          <w:p>
            <w:pPr>
              <w:pStyle w:val="851"/>
              <w:ind w:firstLine="0"/>
              <w:jc w:val="center"/>
              <w:rPr>
                <w:rFonts w:hint="eastAsia" w:ascii="宋体" w:hAnsi="宋体" w:cs="宋体"/>
                <w:color w:val="000000" w:themeColor="text1"/>
                <w:szCs w:val="21"/>
              </w:rPr>
            </w:pPr>
            <w:r>
              <w:rPr>
                <w:rFonts w:hint="eastAsia" w:ascii="宋体" w:hAnsi="宋体" w:cs="宋体"/>
                <w:color w:val="000000" w:themeColor="text1"/>
                <w:szCs w:val="21"/>
              </w:rPr>
              <w:t xml:space="preserve">配备金属盖，瓶、盖配合适宜</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2、刻度线、字、标记</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刻度宽不得过0.8mm，外凸不得过0.4mm；清晰可见</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3、合缝线</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瓶口凸出测量不得过0.3mm，其他部位凸出测量不得过0.5mm</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4、内表面耐水性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每100ml浸提液消耗盐酸滴定液（0.01mol/L）的最大值（ml）符合HC3级标准</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5、121℃颗粒耐水性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每一克玻璃颗粒耗用盐酸滴定液（0.02mol/L）的体积（ml）：0.10～0.85</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6、热稳定性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121℃恒温30ml不破裂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▲7、抗热冲击</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经受42℃温差热震不破裂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8、耐内压力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经受0.6MPa试验不破裂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9、内应力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热处理后最大应力造成的光程差不超过40nm/mm</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10、线膨胀系数</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（7.6～9.0）*10</w:t>
            </w:r>
            <w:r>
              <w:rPr>
                <w:rFonts w:hint="eastAsia" w:ascii="宋体" w:hAnsi="宋体" w:cs="宋体"/>
                <w:color w:val="000000" w:themeColor="text1"/>
                <w:szCs w:val="21"/>
                <w:vertAlign w:val="superscript"/>
              </w:rPr>
              <w:t xml:space="preserve">-6</w:t>
            </w:r>
            <w:r>
              <w:rPr>
                <w:rFonts w:hint="eastAsia" w:ascii="宋体" w:hAnsi="宋体" w:cs="宋体"/>
                <w:color w:val="000000" w:themeColor="text1"/>
                <w:szCs w:val="21"/>
              </w:rPr>
              <w:t xml:space="preserve">K</w:t>
            </w:r>
            <w:r>
              <w:rPr>
                <w:rFonts w:hint="eastAsia" w:ascii="宋体" w:hAnsi="宋体" w:cs="宋体"/>
                <w:color w:val="000000" w:themeColor="text1"/>
                <w:szCs w:val="21"/>
                <w:vertAlign w:val="superscript"/>
              </w:rPr>
              <w:t xml:space="preserve">-1</w:t>
            </w:r>
            <w:r>
              <w:rPr>
                <w:rFonts w:hint="eastAsia" w:ascii="宋体" w:hAnsi="宋体" w:cs="宋体"/>
                <w:color w:val="000000" w:themeColor="text1"/>
                <w:szCs w:val="21"/>
              </w:rPr>
              <w:t xml:space="preserve">(20~300)℃</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▲11、砷、锑、铅、镉浸出量</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砷浸出量：不得过0.2mg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锑浸出量：不得过0.7mg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铅浸出量：不得过1.0mg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镉浸出量：不得过0.25mg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221"/>
        <w:rPr>
          <w:rFonts w:hint="eastAsia" w:ascii="宋体" w:hAnsi="宋体" w:cs="宋体"/>
          <w:b/>
          <w:color w:val="000000" w:themeColor="text1"/>
          <w:szCs w:val="21"/>
        </w:rPr>
      </w:pPr>
      <w:r>
        <w:rPr>
          <w:rFonts w:hint="eastAsia" w:ascii="宋体" w:hAnsi="宋体" w:cs="宋体"/>
          <w:b/>
          <w:color w:val="000000" w:themeColor="text1"/>
          <w:szCs w:val="21"/>
        </w:rPr>
      </w:r>
      <w:r/>
    </w:p>
    <w:p>
      <w:pPr>
        <w:pStyle w:val="851"/>
        <w:ind w:firstLine="442"/>
        <w:rPr>
          <w:rFonts w:hint="eastAsia" w:ascii="宋体" w:hAnsi="宋体" w:cs="宋体"/>
          <w:b/>
          <w:bCs/>
          <w:color w:val="000000" w:themeColor="text1"/>
          <w:szCs w:val="21"/>
        </w:rPr>
      </w:pPr>
      <w:r>
        <w:rPr>
          <w:rFonts w:hint="eastAsia" w:ascii="宋体" w:hAnsi="宋体" w:cs="宋体"/>
          <w:b/>
          <w:color w:val="000000" w:themeColor="text1"/>
          <w:szCs w:val="21"/>
        </w:rPr>
        <w:t xml:space="preserve">6、303ml玻璃瓶技术要求</w:t>
      </w:r>
      <w:r/>
    </w:p>
    <w:tbl>
      <w:tblPr>
        <w:tblW w:w="8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5"/>
        <w:gridCol w:w="2048"/>
        <w:gridCol w:w="4530"/>
        <w:gridCol w:w="889"/>
      </w:tblGrid>
      <w:tr>
        <w:trPr>
          <w:jc w:val="center"/>
        </w:trPr>
        <w:tc>
          <w:tcPr>
            <w:gridSpan w:val="2"/>
            <w:tcW w:w="326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3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889"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tcBorders>
              <w:right w:val="single" w:color="auto" w:sz="4" w:space="0"/>
            </w:tcBorders>
            <w:tcW w:w="1215" w:type="dxa"/>
            <w:vMerge w:val="restart"/>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▲1、外观</w:t>
            </w:r>
            <w:r/>
          </w:p>
        </w:tc>
        <w:tc>
          <w:tcPr>
            <w:tcBorders>
              <w:left w:val="single" w:color="auto" w:sz="4" w:space="0"/>
            </w:tcBorders>
            <w:tcW w:w="2048"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裂纹</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任何部位都不得有裂纹</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Height w:val="339"/>
        </w:trPr>
        <w:tc>
          <w:tcPr>
            <w:tcBorders>
              <w:right w:val="single" w:color="auto" w:sz="4" w:space="0"/>
            </w:tcBorders>
            <w:tcW w:w="1215" w:type="dxa"/>
            <w:vMerge w:val="continue"/>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gridSpan w:val="2"/>
            <w:tcBorders>
              <w:left w:val="single" w:color="auto" w:sz="4" w:space="0"/>
            </w:tcBorders>
            <w:tcW w:w="6578"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无色透明，表面光洁、平整，不应有明显的玻璃缺陷</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Height w:val="339"/>
        </w:trPr>
        <w:tc>
          <w:tcPr>
            <w:tcBorders>
              <w:right w:val="single" w:color="auto" w:sz="4" w:space="0"/>
            </w:tcBorders>
            <w:tcW w:w="1215"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gridSpan w:val="2"/>
            <w:tcBorders>
              <w:left w:val="single" w:color="auto" w:sz="4" w:space="0"/>
            </w:tcBorders>
            <w:tcW w:w="6578"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配备金属盖，瓶、盖配合适宜</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2、刻度线、字、标记</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刻度宽不得过0.8mm，外凸不得过0.4mm；清晰可见</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3、合缝线</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瓶口凸出测量不得过0.3mm，其他部位凸出测量不得过0.5mm</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4、内表面耐水性</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每100ml浸提液消耗盐酸滴定液（0.01mol/L）的最大值（ml）符合HC3级标准</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5、121℃颗粒耐水性</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每一克玻璃颗粒耗用盐酸滴定液（0.02mol/L）的体积（ml）：0.10～0.85</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6、热稳定性</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121℃恒温30ml不破裂</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7、抗热冲击</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经受42℃温差热震不破裂</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8、耐内压力</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经受0.6MPa试验不破裂</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9、内应力</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热处理后最大应力造成的光程差不超过40nm/mm</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10、线膨胀系数</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（7.6～9.0）*10-6K-1(20~300)℃</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vMerge w:val="restart"/>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▲11、砷、锑、铅、镉浸出量</w:t>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砷浸出量：不得过0.2mg</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vMerge w:val="continue"/>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锑浸出量：不得过0.7mg</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vMerge w:val="continue"/>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铅浸出量：不得过1.0mg</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r>
        <w:trPr>
          <w:jc w:val="center"/>
        </w:trPr>
        <w:tc>
          <w:tcPr>
            <w:gridSpan w:val="2"/>
            <w:tcW w:w="3263" w:type="dxa"/>
            <w:vMerge w:val="continue"/>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c>
          <w:tcPr>
            <w:tcW w:w="4530"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color w:val="000000" w:themeColor="text1"/>
                <w:szCs w:val="21"/>
              </w:rPr>
              <w:t xml:space="preserve">镉浸出量：不得过0.25mg</w:t>
            </w:r>
            <w:r/>
          </w:p>
        </w:tc>
        <w:tc>
          <w:tcPr>
            <w:tcW w:w="889" w:type="dxa"/>
            <w:textDirection w:val="lrTb"/>
            <w:noWrap w:val="false"/>
          </w:tcPr>
          <w:p>
            <w:pPr>
              <w:pStyle w:val="851"/>
              <w:ind w:firstLine="0"/>
              <w:jc w:val="center"/>
              <w:rPr>
                <w:rFonts w:hint="eastAsia" w:ascii="宋体" w:hAnsi="宋体" w:cs="宋体"/>
                <w:bCs/>
                <w:color w:val="000000" w:themeColor="text1"/>
                <w:szCs w:val="21"/>
              </w:rPr>
            </w:pPr>
            <w:r>
              <w:rPr>
                <w:rFonts w:hint="eastAsia" w:ascii="宋体" w:hAnsi="宋体" w:cs="宋体"/>
                <w:bCs/>
                <w:color w:val="000000" w:themeColor="text1"/>
                <w:szCs w:val="21"/>
              </w:rPr>
            </w:r>
            <w:r/>
          </w:p>
        </w:tc>
      </w:tr>
    </w:tbl>
    <w:p>
      <w:pPr>
        <w:pStyle w:val="851"/>
        <w:ind w:firstLine="221"/>
        <w:rPr>
          <w:rFonts w:hint="eastAsia" w:ascii="宋体" w:hAnsi="宋体" w:cs="宋体"/>
          <w:b/>
          <w:color w:val="000000" w:themeColor="text1"/>
          <w:szCs w:val="21"/>
        </w:rPr>
      </w:pPr>
      <w:r>
        <w:rPr>
          <w:rFonts w:hint="eastAsia" w:ascii="宋体" w:hAnsi="宋体" w:cs="宋体"/>
          <w:b/>
          <w:color w:val="000000" w:themeColor="text1"/>
          <w:szCs w:val="21"/>
        </w:rPr>
      </w:r>
      <w:r/>
    </w:p>
    <w:p>
      <w:pPr>
        <w:pStyle w:val="851"/>
        <w:ind w:firstLine="442"/>
        <w:rPr>
          <w:rFonts w:hint="eastAsia" w:ascii="宋体" w:hAnsi="宋体" w:cs="宋体"/>
          <w:b/>
          <w:bCs/>
          <w:color w:val="000000" w:themeColor="text1"/>
          <w:szCs w:val="21"/>
        </w:rPr>
      </w:pPr>
      <w:r>
        <w:rPr>
          <w:rFonts w:hint="eastAsia" w:ascii="宋体" w:hAnsi="宋体" w:cs="宋体"/>
          <w:b/>
          <w:color w:val="000000" w:themeColor="text1"/>
          <w:szCs w:val="21"/>
        </w:rPr>
        <w:t xml:space="preserve">7、120ml、500ml棕色玻璃瓶技术要求</w:t>
      </w:r>
      <w:r/>
    </w:p>
    <w:tbl>
      <w:tblPr>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3"/>
        <w:gridCol w:w="4530"/>
        <w:gridCol w:w="913"/>
      </w:tblGrid>
      <w:tr>
        <w:trPr>
          <w:jc w:val="center"/>
        </w:trPr>
        <w:tc>
          <w:tcPr>
            <w:tcW w:w="325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3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1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tcW w:w="325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任何部位都不得有裂纹</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339"/>
        </w:trPr>
        <w:tc>
          <w:tcPr>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棕色透明，表面光洁、平整，不应有明显的玻璃缺陷</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339"/>
        </w:trPr>
        <w:tc>
          <w:tcPr>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配件：120ml的配口服液瓶用铝盖，500ml的配PE/PP防盗盖</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2、刻度线、字、标记</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刻度宽不得过0.8mm，外凸不得过0.4mm；清晰可见</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3、合缝线</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瓶口凸出测量不得过0.3mm，其他部位凸出测量不得过0.5mm</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4、内表面耐水性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每100ml浸提液消耗盐酸滴定液（0.01mol/L）的最大值（ml）符合HC3级标准</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5、121℃颗粒耐水性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每一克玻璃颗粒耗用盐酸滴定液（0.02mol/L）的体积（ml）：0.10～0.85</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6、热稳定性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121℃恒温30ml不破裂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7、抗热冲击</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经受42度温差热震不破裂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8、耐内压力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经受0.6MPa试验不破裂</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9、内应力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热处理后最大应力造成的光程差不超过40nm/mm</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10、线膨胀系数</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（7.6～9.0）*10</w:t>
            </w:r>
            <w:r>
              <w:rPr>
                <w:rFonts w:hint="eastAsia" w:ascii="宋体" w:hAnsi="宋体" w:cs="宋体"/>
                <w:color w:val="000000" w:themeColor="text1"/>
                <w:szCs w:val="21"/>
                <w:vertAlign w:val="superscript"/>
              </w:rPr>
              <w:t xml:space="preserve">-6</w:t>
            </w:r>
            <w:r>
              <w:rPr>
                <w:rFonts w:hint="eastAsia" w:ascii="宋体" w:hAnsi="宋体" w:cs="宋体"/>
                <w:color w:val="000000" w:themeColor="text1"/>
                <w:szCs w:val="21"/>
              </w:rPr>
              <w:t xml:space="preserve">K</w:t>
            </w:r>
            <w:r>
              <w:rPr>
                <w:rFonts w:hint="eastAsia" w:ascii="宋体" w:hAnsi="宋体" w:cs="宋体"/>
                <w:color w:val="000000" w:themeColor="text1"/>
                <w:szCs w:val="21"/>
                <w:vertAlign w:val="superscript"/>
              </w:rPr>
              <w:t xml:space="preserve">-1</w:t>
            </w:r>
            <w:r>
              <w:rPr>
                <w:rFonts w:hint="eastAsia" w:ascii="宋体" w:hAnsi="宋体" w:cs="宋体"/>
                <w:color w:val="000000" w:themeColor="text1"/>
                <w:szCs w:val="21"/>
              </w:rPr>
              <w:t xml:space="preserve">(20~300)℃</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▲11、砷、锑、铅、镉浸出量</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砷浸出量：不得过0.2mg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锑浸出量：不得过0.7mg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铅浸出量：不得过1.0mg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Pr>
        <w:tc>
          <w:tcPr>
            <w:tcW w:w="325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镉浸出量：不得过0.25mg</w:t>
            </w:r>
            <w:r/>
          </w:p>
        </w:tc>
        <w:tc>
          <w:tcPr>
            <w:tcW w:w="91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851"/>
        <w:ind w:firstLine="442"/>
        <w:rPr>
          <w:rFonts w:hint="eastAsia" w:ascii="宋体" w:hAnsi="宋体" w:cs="宋体"/>
          <w:b/>
          <w:color w:val="000000" w:themeColor="text1"/>
          <w:szCs w:val="21"/>
        </w:rPr>
      </w:pPr>
      <w:r>
        <w:rPr>
          <w:rFonts w:hint="eastAsia" w:ascii="宋体" w:hAnsi="宋体" w:cs="宋体"/>
          <w:b/>
          <w:color w:val="000000" w:themeColor="text1"/>
          <w:szCs w:val="21"/>
        </w:rPr>
      </w:r>
      <w:r/>
    </w:p>
    <w:p>
      <w:pPr>
        <w:pStyle w:val="851"/>
        <w:ind w:firstLine="442"/>
        <w:rPr>
          <w:rFonts w:hint="eastAsia" w:ascii="宋体" w:hAnsi="宋体" w:cs="宋体"/>
          <w:color w:val="000000" w:themeColor="text1"/>
          <w:szCs w:val="21"/>
        </w:rPr>
      </w:pPr>
      <w:r>
        <w:rPr>
          <w:rFonts w:hint="eastAsia" w:ascii="宋体" w:hAnsi="宋体" w:cs="宋体"/>
          <w:b/>
          <w:color w:val="000000" w:themeColor="text1"/>
          <w:szCs w:val="21"/>
        </w:rPr>
        <w:t xml:space="preserve">8、10ml、20ml低硼硅玻璃管制口服液体瓶技术要求</w:t>
      </w:r>
      <w:r/>
    </w:p>
    <w:tbl>
      <w:tblPr>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5"/>
        <w:gridCol w:w="2048"/>
        <w:gridCol w:w="4530"/>
        <w:gridCol w:w="908"/>
      </w:tblGrid>
      <w:tr>
        <w:trPr>
          <w:jc w:val="center"/>
        </w:trPr>
        <w:tc>
          <w:tcPr>
            <w:gridSpan w:val="2"/>
            <w:tcW w:w="3263"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项目</w:t>
            </w:r>
            <w:r/>
          </w:p>
        </w:tc>
        <w:tc>
          <w:tcPr>
            <w:tcW w:w="4530"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技术要求</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bCs/>
                <w:color w:val="000000" w:themeColor="text1"/>
                <w:szCs w:val="21"/>
              </w:rPr>
              <w:t xml:space="preserve">备注</w:t>
            </w:r>
            <w:r/>
          </w:p>
        </w:tc>
      </w:tr>
      <w:tr>
        <w:trPr>
          <w:jc w:val="center"/>
        </w:trPr>
        <w:tc>
          <w:tcPr>
            <w:tcBorders>
              <w:right w:val="single" w:color="auto" w:sz="4" w:space="0"/>
            </w:tcBorders>
            <w:tcW w:w="1215"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▲1、外观</w:t>
            </w:r>
            <w:r/>
          </w:p>
        </w:tc>
        <w:tc>
          <w:tcPr>
            <w:gridSpan w:val="2"/>
            <w:tcBorders>
              <w:left w:val="single" w:color="auto" w:sz="4" w:space="0"/>
            </w:tcBorders>
            <w:tcW w:w="657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应无色透明或棕色透明；表面应光洁、平整，不应有明显的玻璃缺陷；</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Height w:val="339"/>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left w:val="single" w:color="auto" w:sz="4" w:space="0"/>
            </w:tcBorders>
            <w:tcW w:w="657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任何部位不得有裂纹</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Height w:val="339"/>
        </w:trPr>
        <w:tc>
          <w:tcPr>
            <w:tcBorders>
              <w:right w:val="single" w:color="auto" w:sz="4" w:space="0"/>
            </w:tcBorders>
            <w:tcW w:w="1215"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Borders>
              <w:left w:val="single" w:color="auto" w:sz="4" w:space="0"/>
            </w:tcBorders>
            <w:tcW w:w="6578"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配丁基胶塞、铝塑组合盖</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2、内应力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光程差不得过40nm/mm</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3、垂直轴偏差</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不得过1.5 mm</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4、内表面耐水性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每100ml浸提液消耗盐酸滴定液（0.01mol/L）的最大值（ml）符合HC3级标准</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5、121℃颗粒耐水性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每一克玻璃颗粒耗用盐酸滴定液（0.02mol/L）的体积（ml）：0.10～0.85。符合1级</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▲6、热稳定性</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121℃恒温30min不破裂</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7、抗热冲击</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经受42℃温差热震不破裂</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8、内应力</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热处理后最大应力造成的光程差不超过40nm/mm</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9、三氧化二硼含量</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应不得小于5%</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10、线膨胀系数</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（6.2～7.5）*10-6K-1(20~300)℃</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vMerge w:val="restart"/>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▲11、砷、锑、铅、镉浸出量</w:t>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砷浸出量：不得过0.2mg</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锑浸出量：不得过0.7mg</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铅浸出量：不得过1.0mg</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r>
        <w:trPr>
          <w:jc w:val="center"/>
        </w:trPr>
        <w:tc>
          <w:tcPr>
            <w:gridSpan w:val="2"/>
            <w:tcW w:w="3263" w:type="dxa"/>
            <w:vMerge w:val="continue"/>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r>
            <w:r/>
          </w:p>
        </w:tc>
        <w:tc>
          <w:tcPr>
            <w:tcW w:w="4530" w:type="dxa"/>
            <w:textDirection w:val="lrTb"/>
            <w:noWrap w:val="false"/>
          </w:tcPr>
          <w:p>
            <w:pPr>
              <w:pStyle w:val="851"/>
              <w:ind w:firstLine="0"/>
              <w:rPr>
                <w:rFonts w:hint="eastAsia" w:ascii="宋体" w:hAnsi="宋体" w:cs="宋体"/>
                <w:color w:val="000000" w:themeColor="text1"/>
                <w:szCs w:val="21"/>
              </w:rPr>
            </w:pPr>
            <w:r>
              <w:rPr>
                <w:rFonts w:hint="eastAsia" w:ascii="宋体" w:hAnsi="宋体" w:cs="宋体"/>
                <w:color w:val="000000" w:themeColor="text1"/>
                <w:szCs w:val="21"/>
              </w:rPr>
              <w:t xml:space="preserve">镉浸出量：不得过0.25mg</w:t>
            </w:r>
            <w:r/>
          </w:p>
        </w:tc>
        <w:tc>
          <w:tcPr>
            <w:tcW w:w="908" w:type="dxa"/>
            <w:textDirection w:val="lrTb"/>
            <w:noWrap w:val="false"/>
          </w:tcPr>
          <w:p>
            <w:pPr>
              <w:pStyle w:val="851"/>
              <w:ind w:firstLine="0"/>
              <w:jc w:val="center"/>
              <w:rPr>
                <w:rFonts w:hint="eastAsia" w:ascii="宋体" w:hAnsi="宋体" w:cs="宋体"/>
                <w:b/>
                <w:color w:val="000000" w:themeColor="text1"/>
                <w:szCs w:val="21"/>
              </w:rPr>
            </w:pPr>
            <w:r>
              <w:rPr>
                <w:rFonts w:hint="eastAsia" w:ascii="宋体" w:hAnsi="宋体" w:cs="宋体"/>
                <w:b/>
                <w:color w:val="000000" w:themeColor="text1"/>
                <w:szCs w:val="21"/>
              </w:rPr>
            </w:r>
            <w:r/>
          </w:p>
        </w:tc>
      </w:tr>
    </w:tbl>
    <w:p>
      <w:pPr>
        <w:pStyle w:val="824"/>
        <w:rPr>
          <w:color w:val="000000" w:themeColor="text1"/>
        </w:rPr>
      </w:pPr>
      <w:r>
        <w:rPr>
          <w:color w:val="000000" w:themeColor="text1"/>
        </w:rPr>
      </w:r>
      <w:bookmarkEnd w:id="4"/>
      <w:r/>
      <w:r/>
    </w:p>
    <w:p>
      <w:pPr>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三、商务要求：</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1、各供应商的投标单价不得高于所需清单中对应的单价，否则作无效响应文件处理。清单中数量为暂估，最终使用量按实结算，采购人不做最低采购量承诺。</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2、</w:t>
      </w:r>
      <w:bookmarkStart w:id="5" w:name="OLE_LINK4"/>
      <w:r>
        <w:rPr>
          <w:rFonts w:hint="eastAsia" w:ascii="宋体" w:hAnsi="宋体" w:cs="宋体"/>
          <w:bCs/>
          <w:color w:val="000000" w:themeColor="text1"/>
          <w:sz w:val="21"/>
          <w:szCs w:val="21"/>
        </w:rPr>
        <w:t xml:space="preserve">履约保证金：</w:t>
      </w:r>
      <w:bookmarkStart w:id="6" w:name="_Hlk209870609"/>
      <w:r>
        <w:rPr>
          <w:rFonts w:hint="eastAsia" w:ascii="宋体" w:hAnsi="宋体" w:cs="宋体"/>
          <w:bCs/>
          <w:color w:val="000000" w:themeColor="text1"/>
          <w:sz w:val="21"/>
          <w:szCs w:val="21"/>
        </w:rPr>
        <w:t xml:space="preserve">本项</w:t>
      </w:r>
      <w:r>
        <w:rPr>
          <w:rFonts w:hint="eastAsia" w:ascii="宋体" w:hAnsi="宋体" w:cs="宋体"/>
          <w:bCs/>
          <w:color w:val="000000" w:themeColor="text1"/>
          <w:sz w:val="21"/>
          <w:szCs w:val="21"/>
        </w:rPr>
        <w:t xml:space="preserve">目履约保证金为成交总价的10%，成交供应商应在合同签订前一次性足额缴纳给采购人。供应商自主选择以电汇、转账、支票、汇票、本票（限泰州同城）或者金融机</w:t>
      </w:r>
      <w:r>
        <w:rPr>
          <w:rFonts w:hint="eastAsia" w:ascii="宋体" w:hAnsi="宋体" w:cs="宋体"/>
          <w:bCs/>
          <w:color w:val="000000" w:themeColor="text1"/>
          <w:sz w:val="21"/>
          <w:szCs w:val="21"/>
        </w:rPr>
        <w:t xml:space="preserve">构、担保机构出具的保函、保险公司出具的保证保险等形式缴纳或提交。履约保证金的有效期自提交之日起至服务期满为止，</w:t>
      </w:r>
      <w:bookmarkEnd w:id="5"/>
      <w:r/>
      <w:bookmarkEnd w:id="6"/>
      <w:r>
        <w:rPr>
          <w:rFonts w:hint="eastAsia" w:ascii="宋体" w:hAnsi="宋体" w:cs="宋体"/>
          <w:bCs/>
          <w:color w:val="000000" w:themeColor="text1"/>
          <w:sz w:val="21"/>
          <w:szCs w:val="21"/>
          <w:lang w:val="zh-CN"/>
        </w:rPr>
        <w:t xml:space="preserve">服务期</w:t>
      </w:r>
      <w:r>
        <w:rPr>
          <w:rFonts w:hint="eastAsia" w:ascii="宋体" w:hAnsi="宋体" w:cs="宋体"/>
          <w:bCs/>
          <w:color w:val="000000" w:themeColor="text1"/>
          <w:sz w:val="21"/>
          <w:szCs w:val="21"/>
        </w:rPr>
        <w:t xml:space="preserve">内</w:t>
      </w:r>
      <w:r>
        <w:rPr>
          <w:rFonts w:hint="eastAsia" w:ascii="宋体" w:hAnsi="宋体" w:cs="宋体"/>
          <w:bCs/>
          <w:color w:val="000000" w:themeColor="text1"/>
          <w:sz w:val="21"/>
          <w:szCs w:val="21"/>
          <w:lang w:val="zh-CN"/>
        </w:rPr>
        <w:t xml:space="preserve">如</w:t>
      </w:r>
      <w:r>
        <w:rPr>
          <w:rFonts w:hint="eastAsia" w:ascii="宋体" w:hAnsi="宋体" w:cs="宋体"/>
          <w:bCs/>
          <w:color w:val="000000" w:themeColor="text1"/>
          <w:sz w:val="21"/>
          <w:szCs w:val="21"/>
        </w:rPr>
        <w:t xml:space="preserve">供应商</w:t>
      </w:r>
      <w:r>
        <w:rPr>
          <w:rFonts w:hint="eastAsia" w:ascii="宋体" w:hAnsi="宋体" w:cs="宋体"/>
          <w:bCs/>
          <w:color w:val="000000" w:themeColor="text1"/>
          <w:sz w:val="21"/>
          <w:szCs w:val="21"/>
          <w:lang w:val="zh-CN"/>
        </w:rPr>
        <w:t xml:space="preserve">无违约问题，服务期</w:t>
      </w:r>
      <w:r>
        <w:rPr>
          <w:rFonts w:hint="eastAsia" w:ascii="宋体" w:hAnsi="宋体" w:cs="宋体"/>
          <w:bCs/>
          <w:color w:val="000000" w:themeColor="text1"/>
          <w:sz w:val="21"/>
          <w:szCs w:val="21"/>
        </w:rPr>
        <w:t xml:space="preserve">满后采购人</w:t>
      </w:r>
      <w:r>
        <w:rPr>
          <w:rFonts w:hint="eastAsia" w:ascii="宋体" w:hAnsi="宋体" w:cs="宋体"/>
          <w:bCs/>
          <w:color w:val="000000" w:themeColor="text1"/>
          <w:sz w:val="21"/>
          <w:szCs w:val="21"/>
          <w:lang w:val="zh-CN"/>
        </w:rPr>
        <w:t xml:space="preserve">将无息退还</w:t>
      </w:r>
      <w:r>
        <w:rPr>
          <w:rFonts w:hint="eastAsia" w:ascii="宋体" w:hAnsi="宋体" w:cs="宋体"/>
          <w:bCs/>
          <w:color w:val="000000" w:themeColor="text1"/>
          <w:sz w:val="21"/>
          <w:szCs w:val="21"/>
        </w:rPr>
        <w:t xml:space="preserve">供应商</w:t>
      </w:r>
      <w:r>
        <w:rPr>
          <w:rFonts w:hint="eastAsia" w:ascii="宋体" w:hAnsi="宋体" w:cs="宋体"/>
          <w:bCs/>
          <w:color w:val="000000" w:themeColor="text1"/>
          <w:sz w:val="21"/>
          <w:szCs w:val="21"/>
          <w:lang w:val="zh-CN"/>
        </w:rPr>
        <w:t xml:space="preserve">履约保证金</w:t>
      </w:r>
      <w:r>
        <w:rPr>
          <w:rFonts w:hint="eastAsia" w:ascii="宋体" w:hAnsi="宋体" w:cs="宋体"/>
          <w:bCs/>
          <w:color w:val="000000" w:themeColor="text1"/>
          <w:sz w:val="21"/>
          <w:szCs w:val="21"/>
        </w:rPr>
        <w:t xml:space="preserve">。</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3、合同履行及付款方式：</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（1）合同形式：</w:t>
      </w:r>
      <w:bookmarkStart w:id="7" w:name="OLE_LINK6"/>
      <w:r>
        <w:rPr>
          <w:rFonts w:hint="eastAsia" w:ascii="宋体" w:hAnsi="宋体" w:cs="宋体"/>
          <w:bCs/>
          <w:color w:val="000000" w:themeColor="text1"/>
          <w:sz w:val="21"/>
          <w:szCs w:val="21"/>
        </w:rPr>
        <w:t xml:space="preserve">固定单价合同，实际结算价=成交单价*实际供货数量。在合同有效期内，单价固定不变，不得以任何理由向上调整价格。政府采购合同履行中，采购人需追加与合同标的相同的货物、工程或者服务的，在不改变合同其他条款的前提下，可以与供应商协商签订补充合同，但所有补充合同的采购金额不得超过原合同采购金额的百分之十。</w:t>
      </w:r>
      <w:bookmarkEnd w:id="7"/>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（2）合同履行期限：</w:t>
      </w:r>
      <w:bookmarkStart w:id="8" w:name="OLE_LINK3"/>
      <w:r>
        <w:rPr>
          <w:rFonts w:hint="eastAsia" w:ascii="宋体" w:hAnsi="宋体" w:cs="宋体"/>
          <w:bCs/>
          <w:color w:val="000000" w:themeColor="text1"/>
          <w:sz w:val="21"/>
          <w:szCs w:val="21"/>
        </w:rPr>
        <w:t xml:space="preserve">1年供货期（含三个月试用期）</w:t>
      </w:r>
      <w:bookmarkEnd w:id="8"/>
      <w:r>
        <w:rPr>
          <w:rFonts w:hint="eastAsia" w:ascii="宋体" w:hAnsi="宋体" w:cs="宋体"/>
          <w:bCs/>
          <w:color w:val="000000" w:themeColor="text1"/>
          <w:sz w:val="21"/>
          <w:szCs w:val="21"/>
        </w:rPr>
        <w:t xml:space="preserve">，服务期间，如成交供应商达不到合同规定的服务目标和要求（参照服务考核表等），采购人有权自行终止合同，且不承担由此造成的成交供应商损失。</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（3）付款方式：</w:t>
      </w:r>
      <w:bookmarkStart w:id="9" w:name="_Hlk209870556"/>
      <w:r>
        <w:rPr>
          <w:rFonts w:hint="eastAsia" w:ascii="宋体" w:hAnsi="宋体" w:cs="宋体"/>
          <w:bCs/>
          <w:color w:val="000000" w:themeColor="text1"/>
          <w:sz w:val="21"/>
          <w:szCs w:val="21"/>
        </w:rPr>
        <w:t xml:space="preserve">分批次供货，按实际用量结算，每次供货产品经采购人验收合格后，成交供应商当月提供国家税务机构开具的合法发票并附采购人已确认过的供货清单，经采购人审批后支付货款，如供应商提供的发票为非国家税务机构开具的合法发票或其他责任原因而产生的任何后果，均由供应商全部承担。（以上均不计息）</w:t>
      </w:r>
      <w:bookmarkEnd w:id="9"/>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4、配送及服务要求： </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每次供货必须接采购人采购部门签字确认的“下单记录”方可供货，其他部门或人员通知无效。无论采购人申请数量的多少，成交供应商都应能及时供货，满足采购人的需求。成交供应商在接到采购人通知后，应先无偿提供产品样品，经采购人确认后方可批量供应。因未经采购人确认就批量供应导致的一切后果由成交供应商自行承担。</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（2）运输方式及费用：成交供应商负责运输并承担运费及安全责任，在供货途中发生的一切风险责任由成交供应商承担。</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3）所投产品不得影响后期医院制剂生产使用，如因产品的质量等问题影响医院工作、造成损失或引发事故，由成交方负全部责任，并承担由此而引起的全部经济损失及责任。视情节严重，采购人有权扣除履约保证金并立即终止供货协议，按相关法律处理。</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4）成交供应商送货必须及时，成交供应商接到采购人供货通知后，必须在2天内将产品运至采购人指定的交货地点并按采购人的要求摆放整齐，紧急物资必须24小时内将产品运至采购人指定的交货地点。部分货品需要超时送达的,需提前通知采购人相关人员,经采购人同意后方可协商具体送货时间,否则按违约处理。具体按《服务考核表》执行。</w:t>
      </w:r>
      <w:r/>
    </w:p>
    <w:tbl>
      <w:tblPr>
        <w:tblW w:w="8379" w:type="dxa"/>
        <w:jc w:val="center"/>
        <w:tblLayout w:type="fixed"/>
        <w:tblLook w:val="04A0" w:firstRow="1" w:lastRow="0" w:firstColumn="1" w:lastColumn="0" w:noHBand="0" w:noVBand="1"/>
      </w:tblPr>
      <w:tblGrid>
        <w:gridCol w:w="2309"/>
        <w:gridCol w:w="4227"/>
        <w:gridCol w:w="1843"/>
      </w:tblGrid>
      <w:tr>
        <w:trPr>
          <w:jc w:val="center"/>
          <w:trHeight w:val="90"/>
        </w:trPr>
        <w:tc>
          <w:tcPr>
            <w:gridSpan w:val="3"/>
            <w:tcBorders>
              <w:top w:val="single" w:color="auto" w:sz="4" w:space="0"/>
              <w:left w:val="single" w:color="auto" w:sz="4" w:space="0"/>
              <w:bottom w:val="single" w:color="auto" w:sz="4" w:space="0"/>
              <w:right w:val="single" w:color="auto" w:sz="4" w:space="0"/>
            </w:tcBorders>
            <w:tcW w:w="8379" w:type="dxa"/>
            <w:vAlign w:val="center"/>
            <w:textDirection w:val="lrTb"/>
            <w:noWrap/>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服务考核表</w:t>
            </w:r>
            <w:r/>
          </w:p>
        </w:tc>
      </w:tr>
      <w:tr>
        <w:trPr>
          <w:jc w:val="center"/>
          <w:trHeight w:val="448"/>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6070" w:type="dxa"/>
            <w:vAlign w:val="center"/>
            <w:textDirection w:val="lrTb"/>
            <w:noWrap/>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考核措施</w:t>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产品供货不及时</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逾期1—3天扣300元/天，</w:t>
            </w:r>
            <w:r>
              <w:rPr>
                <w:rFonts w:hint="eastAsia" w:ascii="宋体" w:hAnsi="宋体" w:cs="宋体"/>
                <w:bCs/>
                <w:color w:val="000000" w:themeColor="text1"/>
                <w:sz w:val="21"/>
                <w:szCs w:val="21"/>
              </w:rPr>
              <w:br/>
              <w:t xml:space="preserve">逾期≥4天扣500元/天。</w:t>
            </w:r>
            <w:r/>
          </w:p>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逾期达到10天的，采购人有权终止合同、并扣除全部履约保证金。</w:t>
            </w: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违约3次及以上，采购人有权终止合同</w:t>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供货服务不符合要求</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供货前未按采购部门通知供货，扣500元/批次；供货时未按采购人指定的地点和要求摆放500元/批次。</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r>
            <w:r/>
          </w:p>
        </w:tc>
      </w:tr>
      <w:tr>
        <w:trPr>
          <w:jc w:val="center"/>
          <w:trHeight w:val="702"/>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产品售后不及时</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视售后处理效率，未能主动对接处理并协商解决问题，每次扣1000元或以上。</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r>
            <w:r/>
          </w:p>
        </w:tc>
      </w:tr>
      <w:tr>
        <w:trPr>
          <w:jc w:val="center"/>
          <w:trHeight w:val="623"/>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产品数量错误、产品名（品牌）/型号/规格错误</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首次警告，第二次扣500元。</w:t>
            </w:r>
            <w:r/>
          </w:p>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第三次扣1000元，并终止合同。</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r>
            <w:r/>
          </w:p>
        </w:tc>
      </w:tr>
      <w:tr>
        <w:trPr>
          <w:jc w:val="center"/>
          <w:trHeight w:val="806"/>
        </w:trPr>
        <w:tc>
          <w:tcPr>
            <w:tcBorders>
              <w:top w:val="single" w:color="auto" w:sz="4" w:space="0"/>
              <w:left w:val="single" w:color="auto" w:sz="4" w:space="0"/>
              <w:bottom w:val="single" w:color="auto" w:sz="4" w:space="0"/>
              <w:right w:val="single" w:color="auto" w:sz="4" w:space="0"/>
            </w:tcBorders>
            <w:tcW w:w="2309"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产品质量不符合要求</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tcPr>
          <w:p>
            <w:pPr>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t xml:space="preserve">视情形严重，每批次扣2000元或以上，同时承担第三方检测机构的检测费用；采购人有权终止合同、并扣除全部履约保证金、追究其违约责任。</w:t>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ind w:firstLine="420"/>
              <w:jc w:val="both"/>
              <w:spacing w:after="0" w:line="360" w:lineRule="auto"/>
              <w:rPr>
                <w:rFonts w:hint="eastAsia" w:ascii="宋体" w:hAnsi="宋体" w:cs="宋体"/>
                <w:bCs/>
                <w:color w:val="000000" w:themeColor="text1"/>
                <w:sz w:val="21"/>
                <w:szCs w:val="21"/>
              </w:rPr>
            </w:pPr>
            <w:r>
              <w:rPr>
                <w:rFonts w:hint="eastAsia" w:ascii="宋体" w:hAnsi="宋体" w:cs="宋体"/>
                <w:bCs/>
                <w:color w:val="000000" w:themeColor="text1"/>
                <w:sz w:val="21"/>
                <w:szCs w:val="21"/>
              </w:rPr>
            </w:r>
            <w:r/>
          </w:p>
        </w:tc>
      </w:tr>
    </w:tbl>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注：以上服务考核表由采购人考核打分，其考核结果对成交供应商具有约束力，采购人有权按照考核结果依据本合同相应条款对成交供应商进行处罚。</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5、验收标准：</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1）成交供应商提供的货物必须符合我国最新颁布的与之相关的技术规范与标准（《中华人民共和国药典》、《中华人民共和国药品管理法》、《药品生产质量管理规范（2010年修订）》等），同时必须满足采购文件中所列全部规格、质量要求和成交方承诺的其它指标。成交供应商所供产品经采购人业务部门清点数量、核验品牌、检查质量、查验合格证，确认产品包装完整、验收合格后，双方在供货清单上签字确认。</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2）成交供应商供货前，采购人有权对成交供应商所供货物进行抽检并要求对方提供相应批次产品的质检报告，成交供应商需按采购人要求准备好相关产品和资料，验收合格后方可供货。当双方对验收结果有争议时，可委托双方一致认可的国家相关权威检测中心进行检测，费用由成交供应商承担，对检测不符合要求的产品将按文件相</w:t>
      </w:r>
      <w:r>
        <w:rPr>
          <w:rFonts w:hint="eastAsia" w:ascii="宋体" w:hAnsi="宋体" w:cs="宋体"/>
          <w:bCs/>
          <w:color w:val="000000" w:themeColor="text1"/>
          <w:sz w:val="21"/>
          <w:szCs w:val="21"/>
        </w:rPr>
        <w:t xml:space="preserve">关要求处理，并上报监管部门。</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3）采购人有权对供应商已配送的各类物品自行或者委托第三方检测机构进行检测，按国家有关标准，若检测不合格，对该批货物予以没收销毁，不必退还供应商，防止二次流通至社会市场，视情况严重性，采购人有权扣除供应商当次总货款的10％并直接单方解除相关合同，并不用对供应商做任何赔偿。</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4）供应商所供货物的规格、参数、质量、品牌、品种应与磋商时所承诺的产品一致，如实际供货时不符合要求或无合格证等相关资料时，导致验收不合格，采购人有权拒收，不合格产品作当场退回处理，因此造成的一切责任及损失由成交供应商自行负责，采购人有权扣除其履约保证金并追究其违约</w:t>
      </w:r>
      <w:r>
        <w:rPr>
          <w:rFonts w:hint="eastAsia" w:ascii="宋体" w:hAnsi="宋体" w:cs="宋体"/>
          <w:bCs/>
          <w:color w:val="000000" w:themeColor="text1"/>
          <w:sz w:val="21"/>
          <w:szCs w:val="21"/>
        </w:rPr>
        <w:t xml:space="preserve">责任。同时采购人有权要求成交供应商提供符合采购人要求的产品，确保采购人使用，且成交价格不变，如成交供应商不能按要求执行，则采购人有权无条件终止合同并追究其责任，所造成的损失由成交供应商自行承担。</w:t>
      </w:r>
      <w:r/>
    </w:p>
    <w:p>
      <w:pPr>
        <w:ind w:firstLine="420"/>
        <w:jc w:val="both"/>
        <w:spacing w:after="0" w:line="360" w:lineRule="auto"/>
        <w:rPr>
          <w:rFonts w:hint="eastAsia" w:ascii="宋体" w:hAnsi="宋体" w:cs="宋体"/>
          <w:bCs/>
          <w:color w:val="000000" w:themeColor="text1"/>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1"/>
          <w:szCs w:val="21"/>
        </w:rPr>
        <w:t xml:space="preserve">（5）成交供应商所配送产品发生质量问题三次以上的，采购人有权终止合同，同时扣除履约保证金，并按合同约定及法律规定追究成交供应商的违约责任。</w:t>
      </w:r>
      <w:r/>
    </w:p>
    <w:p>
      <w:pPr>
        <w:spacing w:after="0" w:line="240" w:lineRule="auto"/>
        <w:rPr>
          <w:rFonts w:hint="eastAsia" w:ascii="宋体" w:hAnsi="宋体" w:cs="宋体"/>
          <w:b/>
          <w:color w:val="000000" w:themeColor="text1"/>
          <w:sz w:val="21"/>
        </w:rPr>
        <w:sectPr>
          <w:footnotePr/>
          <w:endnotePr/>
          <w:type w:val="nextPage"/>
          <w:pgSz w:w="11906" w:h="16838" w:orient="portrait"/>
          <w:pgMar w:top="1015" w:right="1196" w:bottom="868" w:left="1259" w:header="851" w:footer="227" w:gutter="0"/>
          <w:cols w:num="1" w:sep="0" w:space="720" w:equalWidth="1"/>
          <w:docGrid w:linePitch="360"/>
          <w:titlePg/>
        </w:sectPr>
      </w:pPr>
      <w:r>
        <w:rPr>
          <w:rFonts w:hint="eastAsia" w:ascii="宋体" w:hAnsi="宋体" w:cs="宋体"/>
          <w:b/>
          <w:color w:val="000000" w:themeColor="text1"/>
          <w:sz w:val="21"/>
        </w:rPr>
      </w:r>
      <w:r/>
    </w:p>
    <w:p>
      <w:pPr>
        <w:spacing w:after="0" w:line="240" w:lineRule="auto"/>
        <w:rPr>
          <w:rFonts w:hint="eastAsia" w:ascii="宋体" w:hAnsi="宋体" w:cs="宋体"/>
          <w:b/>
          <w:color w:val="000000" w:themeColor="text1"/>
          <w:sz w:val="21"/>
        </w:rPr>
      </w:pPr>
      <w:r>
        <w:rPr>
          <w:rFonts w:hint="eastAsia" w:ascii="宋体" w:hAnsi="宋体" w:cs="宋体"/>
          <w:b/>
          <w:color w:val="000000" w:themeColor="text1"/>
          <w:sz w:val="21"/>
        </w:rPr>
      </w:r>
      <w:r/>
    </w:p>
    <w:p>
      <w:pPr>
        <w:ind w:right="181"/>
        <w:jc w:val="center"/>
        <w:spacing w:after="0" w:line="31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第五章  评审方法和评审标准</w:t>
      </w:r>
      <w:r/>
    </w:p>
    <w:p>
      <w:pPr>
        <w:ind w:firstLine="42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该项目评标由评标委员会依据采购文件的有关规定进行。评标委员会由采购人和有关专家组成，人数为三人（含）以上的单数。经评标委员会初步确认为无效的响应文件不参加详细评审，经初步评审合格的响应文件依据采购文件的规定按下列评标标准和方法进行评审。</w:t>
      </w:r>
      <w:r/>
    </w:p>
    <w:p>
      <w:pPr>
        <w:ind w:firstLine="42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一、评标总则：</w:t>
      </w:r>
      <w:r/>
    </w:p>
    <w:p>
      <w:pPr>
        <w:ind w:firstLine="42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根据各投标单位提供的所有资料进行评比打分。</w:t>
      </w:r>
      <w:r/>
    </w:p>
    <w:p>
      <w:pPr>
        <w:ind w:firstLine="42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二、评标步骤：</w:t>
      </w:r>
      <w:r/>
    </w:p>
    <w:p>
      <w:pPr>
        <w:ind w:firstLine="420"/>
        <w:jc w:val="both"/>
        <w:spacing w:after="0" w:line="519" w:lineRule="atLeast"/>
        <w:tabs>
          <w:tab w:val="left" w:pos="1575"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（1）专家审阅：评标委员会成员阅读采购文件，审查供应商提供的有关响应文件。</w:t>
      </w:r>
      <w:r/>
    </w:p>
    <w:p>
      <w:pPr>
        <w:ind w:firstLine="420"/>
        <w:jc w:val="both"/>
        <w:spacing w:after="0" w:line="519" w:lineRule="atLeast"/>
        <w:tabs>
          <w:tab w:val="left" w:pos="1575"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（2）专家打分：评标委员会成员按本评标办法的打分标准进行打分。（分值保留两位小数）。</w:t>
      </w:r>
      <w:r/>
    </w:p>
    <w:p>
      <w:pPr>
        <w:ind w:firstLine="42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三、评标分值设置：</w:t>
      </w:r>
      <w:r/>
    </w:p>
    <w:p>
      <w:pPr>
        <w:ind w:firstLine="442"/>
        <w:spacing w:line="4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（1）投标报价（</w:t>
      </w:r>
      <w:r>
        <w:rPr>
          <w:rFonts w:hint="eastAsia" w:ascii="宋体" w:hAnsi="宋体" w:cs="宋体"/>
          <w:b/>
          <w:color w:val="000000" w:themeColor="text1"/>
          <w:szCs w:val="21"/>
        </w:rPr>
        <w:t xml:space="preserve">50分）</w:t>
      </w:r>
      <w:r/>
    </w:p>
    <w:tbl>
      <w:tblPr>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7"/>
        <w:gridCol w:w="1267"/>
        <w:gridCol w:w="6450"/>
        <w:gridCol w:w="736"/>
      </w:tblGrid>
      <w:tr>
        <w:trPr>
          <w:jc w:val="center"/>
          <w:trHeight w:val="535"/>
        </w:trPr>
        <w:tc>
          <w:tcPr>
            <w:tcW w:w="7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12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评分内容</w:t>
            </w:r>
            <w:r/>
          </w:p>
        </w:tc>
        <w:tc>
          <w:tcPr>
            <w:tcW w:w="6450"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c>
          <w:tcPr>
            <w:tcW w:w="736"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分值</w:t>
            </w:r>
            <w:r/>
          </w:p>
        </w:tc>
      </w:tr>
      <w:tr>
        <w:trPr>
          <w:jc w:val="center"/>
          <w:trHeight w:val="961"/>
        </w:trPr>
        <w:tc>
          <w:tcPr>
            <w:tcW w:w="7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W w:w="12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投标报价</w:t>
            </w:r>
            <w:r/>
          </w:p>
        </w:tc>
        <w:tc>
          <w:tcPr>
            <w:tcW w:w="64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经评标委员会评审认定有效报价中的最低价作为评审基准价得满分</w:t>
            </w:r>
            <w:r>
              <w:rPr>
                <w:rFonts w:hint="eastAsia" w:ascii="宋体" w:hAnsi="宋体" w:cs="宋体"/>
                <w:color w:val="000000" w:themeColor="text1"/>
                <w:szCs w:val="21"/>
              </w:rPr>
              <w:t xml:space="preserve">50</w:t>
            </w:r>
            <w:r>
              <w:rPr>
                <w:rFonts w:hint="eastAsia" w:ascii="宋体" w:hAnsi="宋体" w:cs="宋体"/>
                <w:color w:val="000000" w:themeColor="text1"/>
                <w:szCs w:val="21"/>
              </w:rPr>
              <w:t xml:space="preserve">分，其它报价得分=评标基准价/最后报价*50分。（分值保留两位小数）</w:t>
            </w:r>
            <w:r/>
          </w:p>
        </w:tc>
        <w:tc>
          <w:tcPr>
            <w:tcW w:w="736" w:type="dxa"/>
            <w:vAlign w:val="center"/>
            <w:textDirection w:val="lrTb"/>
            <w:noWrap w:val="false"/>
          </w:tcPr>
          <w:p>
            <w:pPr>
              <w:jc w:val="center"/>
              <w:spacing w:line="520" w:lineRule="exact"/>
              <w:rPr>
                <w:rFonts w:hint="eastAsia" w:ascii="宋体" w:hAnsi="宋体" w:cs="宋体"/>
                <w:color w:val="000000" w:themeColor="text1"/>
                <w:szCs w:val="21"/>
              </w:rPr>
            </w:pPr>
            <w:r>
              <w:rPr>
                <w:rFonts w:hint="eastAsia" w:ascii="宋体" w:hAnsi="宋体" w:cs="宋体"/>
                <w:color w:val="000000" w:themeColor="text1"/>
                <w:szCs w:val="21"/>
              </w:rPr>
              <w:t xml:space="preserve">50分</w:t>
            </w:r>
            <w:r/>
          </w:p>
        </w:tc>
      </w:tr>
    </w:tbl>
    <w:p>
      <w:pPr>
        <w:ind w:firstLine="550"/>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（2）资信部分（</w:t>
      </w:r>
      <w:r>
        <w:rPr>
          <w:rFonts w:hint="eastAsia" w:ascii="宋体" w:hAnsi="宋体" w:cs="宋体"/>
          <w:b/>
          <w:color w:val="000000" w:themeColor="text1"/>
          <w:szCs w:val="21"/>
        </w:rPr>
        <w:t xml:space="preserve">8</w:t>
      </w:r>
      <w:r>
        <w:rPr>
          <w:rFonts w:hint="eastAsia" w:ascii="宋体" w:hAnsi="宋体" w:cs="宋体"/>
          <w:b/>
          <w:color w:val="000000" w:themeColor="text1"/>
          <w:szCs w:val="21"/>
        </w:rPr>
        <w:t xml:space="preserve">分）</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1233"/>
        <w:gridCol w:w="6450"/>
        <w:gridCol w:w="765"/>
      </w:tblGrid>
      <w:tr>
        <w:trPr>
          <w:jc w:val="center"/>
        </w:trPr>
        <w:tc>
          <w:tcPr>
            <w:tcW w:w="795"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1233"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评分内容</w:t>
            </w:r>
            <w:r/>
          </w:p>
        </w:tc>
        <w:tc>
          <w:tcPr>
            <w:tcW w:w="6450"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c>
          <w:tcPr>
            <w:tcW w:w="765"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分值</w:t>
            </w:r>
            <w:r/>
          </w:p>
        </w:tc>
      </w:tr>
      <w:tr>
        <w:trPr>
          <w:jc w:val="center"/>
          <w:trHeight w:val="1246"/>
        </w:trPr>
        <w:tc>
          <w:tcPr>
            <w:tcW w:w="795"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W w:w="1233"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类似业绩</w:t>
            </w:r>
            <w:r/>
          </w:p>
        </w:tc>
        <w:tc>
          <w:tcPr>
            <w:tcW w:w="6450"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供应商提供自2022年1月1日以来完成过类似供货业绩的，每提供一份业绩得2分，最高得8分。（提供用户名单，并注明联系人、联系方式，便于磋商小组需要时予以验证；提供合同复印件加盖公章，合同须能反映项目名称、主要标的物，签订时间和签章清晰可见，否则不得分；同一单位合同不重复计分）。</w:t>
            </w:r>
            <w:r/>
          </w:p>
        </w:tc>
        <w:tc>
          <w:tcPr>
            <w:tcW w:w="765"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8分</w:t>
            </w:r>
            <w:r/>
          </w:p>
        </w:tc>
      </w:tr>
    </w:tbl>
    <w:p>
      <w:pPr>
        <w:ind w:firstLine="442"/>
        <w:spacing w:line="4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（3）技术参数 （</w:t>
      </w:r>
      <w:r>
        <w:rPr>
          <w:rFonts w:hint="eastAsia" w:ascii="宋体" w:hAnsi="宋体" w:cs="宋体"/>
          <w:b/>
          <w:color w:val="000000" w:themeColor="text1"/>
          <w:szCs w:val="21"/>
        </w:rPr>
        <w:t xml:space="preserve">42</w:t>
      </w:r>
      <w:r>
        <w:rPr>
          <w:rFonts w:hint="eastAsia" w:ascii="宋体" w:hAnsi="宋体" w:cs="宋体"/>
          <w:b/>
          <w:color w:val="000000" w:themeColor="text1"/>
          <w:szCs w:val="21"/>
        </w:rPr>
        <w:t xml:space="preserve">分）</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8"/>
        <w:gridCol w:w="1267"/>
        <w:gridCol w:w="6416"/>
        <w:gridCol w:w="782"/>
      </w:tblGrid>
      <w:tr>
        <w:trPr>
          <w:jc w:val="center"/>
        </w:trPr>
        <w:tc>
          <w:tcPr>
            <w:tcW w:w="778"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序号</w:t>
            </w:r>
            <w:r/>
          </w:p>
        </w:tc>
        <w:tc>
          <w:tcPr>
            <w:tcW w:w="12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评分内容</w:t>
            </w:r>
            <w:r/>
          </w:p>
        </w:tc>
        <w:tc>
          <w:tcPr>
            <w:tcW w:w="6416"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评分标准</w:t>
            </w:r>
            <w:r/>
          </w:p>
        </w:tc>
        <w:tc>
          <w:tcPr>
            <w:tcW w:w="782"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分值</w:t>
            </w:r>
            <w:r/>
          </w:p>
        </w:tc>
      </w:tr>
      <w:tr>
        <w:trPr>
          <w:jc w:val="center"/>
          <w:trHeight w:val="1246"/>
        </w:trPr>
        <w:tc>
          <w:tcPr>
            <w:tcW w:w="778"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1</w:t>
            </w:r>
            <w:r/>
          </w:p>
        </w:tc>
        <w:tc>
          <w:tcPr>
            <w:tcW w:w="12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品目响应</w:t>
            </w:r>
            <w:r/>
          </w:p>
        </w:tc>
        <w:tc>
          <w:tcPr>
            <w:tcW w:w="6416"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产品技术参数全部满足磋商文件要求的得满分14分，加★号的不得偏离，否则作废标处理；加▲号的每有一项负偏离扣2分，其余每一项负偏离扣1分，扣完为止。（供应商需如实填写所投产品参数，成交后发现有虚假响应行为的其成交结果将被视为无效，并自行承担一切风险和后果。）</w:t>
            </w:r>
            <w:r/>
          </w:p>
        </w:tc>
        <w:tc>
          <w:tcPr>
            <w:tcW w:w="782" w:type="dxa"/>
            <w:vAlign w:val="center"/>
            <w:textDirection w:val="lrTb"/>
            <w:noWrap w:val="false"/>
          </w:tcPr>
          <w:p>
            <w:pPr>
              <w:jc w:val="center"/>
              <w:spacing w:line="520" w:lineRule="exact"/>
              <w:rPr>
                <w:rFonts w:hint="eastAsia" w:ascii="宋体" w:hAnsi="宋体" w:cs="宋体"/>
                <w:color w:val="000000" w:themeColor="text1"/>
                <w:szCs w:val="21"/>
              </w:rPr>
            </w:pPr>
            <w:r>
              <w:rPr>
                <w:rFonts w:hint="eastAsia" w:ascii="宋体" w:hAnsi="宋体" w:cs="宋体"/>
                <w:color w:val="000000" w:themeColor="text1"/>
                <w:szCs w:val="21"/>
              </w:rPr>
              <w:t xml:space="preserve">14分</w:t>
            </w:r>
            <w:r/>
          </w:p>
        </w:tc>
      </w:tr>
      <w:tr>
        <w:trPr>
          <w:jc w:val="center"/>
          <w:trHeight w:val="1246"/>
        </w:trPr>
        <w:tc>
          <w:tcPr>
            <w:tcW w:w="778"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2</w:t>
            </w:r>
            <w:r/>
          </w:p>
        </w:tc>
        <w:tc>
          <w:tcPr>
            <w:tcW w:w="1267" w:type="dxa"/>
            <w:vAlign w:val="center"/>
            <w:textDirection w:val="lrTb"/>
            <w:noWrap w:val="false"/>
          </w:tcPr>
          <w:p>
            <w:pPr>
              <w:jc w:val="center"/>
              <w:spacing w:line="52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部分样品</w:t>
            </w:r>
            <w:r/>
          </w:p>
        </w:tc>
        <w:tc>
          <w:tcPr>
            <w:tcW w:w="6416" w:type="dxa"/>
            <w:vAlign w:val="center"/>
            <w:textDirection w:val="lrTb"/>
            <w:noWrap w:val="false"/>
          </w:tcPr>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供应商按照采购文件要求，分别提供30软管（50ml）、玻璃瓶（272ml）、输液瓶（250ml）、塑料瓶（20ml）、低硼硅玻璃管制口服液体瓶（20ml）、棕色玻璃瓶（120ml）六个规格的样品各1个，依据供应商提供的样品，从外观、尺寸、质量、牢固性等方面进行综合评定，按品种进行评分，每个品种最高得2分，外观、尺寸、质量、牢固性等方面完全满足采购需求的得2分；基本满足得1分，有一定的偏差得0.5分，不满足要求或未提供样品不得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共计6个品种，本项最高得分12分。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注：各供应商需在响应文件提交截止时间之前安排人员携带相关样品到达现场并配合专家的评审工作，如未提供样品则评分标准中相应部分不得分。具体样品参数详见采购文件正文。</w:t>
            </w:r>
            <w:r/>
          </w:p>
        </w:tc>
        <w:tc>
          <w:tcPr>
            <w:tcW w:w="782"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12分</w:t>
            </w:r>
            <w:r/>
          </w:p>
        </w:tc>
      </w:tr>
      <w:tr>
        <w:trPr>
          <w:jc w:val="center"/>
          <w:trHeight w:val="1246"/>
        </w:trPr>
        <w:tc>
          <w:tcPr>
            <w:tcW w:w="778"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3</w:t>
            </w:r>
            <w:r/>
          </w:p>
        </w:tc>
        <w:tc>
          <w:tcPr>
            <w:tcW w:w="1267"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供货方案</w:t>
            </w:r>
            <w:r/>
          </w:p>
        </w:tc>
        <w:tc>
          <w:tcPr>
            <w:tcW w:w="6416" w:type="dxa"/>
            <w:vAlign w:val="center"/>
            <w:textDirection w:val="lrTb"/>
            <w:noWrap w:val="false"/>
          </w:tcPr>
          <w:p>
            <w:pPr>
              <w:spacing w:after="0"/>
              <w:rPr>
                <w:color w:val="000000" w:themeColor="text1"/>
              </w:rPr>
            </w:pPr>
            <w:r>
              <w:rPr>
                <w:rFonts w:hint="eastAsia"/>
                <w:color w:val="000000" w:themeColor="text1"/>
              </w:rPr>
              <w:t xml:space="preserve">供货方案全面，具有合理的进度安排、组织架构，具有良好的进度控制、风险控制管理、质量保障措施、安全管理措施，得</w:t>
            </w:r>
            <w:r>
              <w:rPr>
                <w:rFonts w:hint="eastAsia"/>
                <w:color w:val="000000" w:themeColor="text1"/>
              </w:rPr>
              <w:t xml:space="preserve">6</w:t>
            </w:r>
            <w:r>
              <w:rPr>
                <w:rFonts w:hint="eastAsia"/>
                <w:color w:val="000000" w:themeColor="text1"/>
              </w:rPr>
              <w:t xml:space="preserve">分；</w:t>
            </w:r>
            <w:r/>
          </w:p>
          <w:p>
            <w:pPr>
              <w:spacing w:after="0"/>
              <w:rPr>
                <w:color w:val="000000" w:themeColor="text1"/>
              </w:rPr>
            </w:pPr>
            <w:r>
              <w:rPr>
                <w:rFonts w:hint="eastAsia"/>
                <w:color w:val="000000" w:themeColor="text1"/>
              </w:rPr>
              <w:t xml:space="preserve">供货方案不够全面，进度安排、组织架构不够合理，进度控制、风险控制管理、质量保障措施、安全管理措施不全，得</w:t>
            </w:r>
            <w:r>
              <w:rPr>
                <w:rFonts w:hint="eastAsia"/>
                <w:color w:val="000000" w:themeColor="text1"/>
              </w:rPr>
              <w:t xml:space="preserve">4</w:t>
            </w:r>
            <w:r>
              <w:rPr>
                <w:rFonts w:hint="eastAsia"/>
                <w:color w:val="000000" w:themeColor="text1"/>
              </w:rPr>
              <w:t xml:space="preserve">分；</w:t>
            </w:r>
            <w:r/>
          </w:p>
          <w:p>
            <w:pPr>
              <w:spacing w:after="0"/>
              <w:rPr>
                <w:color w:val="000000" w:themeColor="text1"/>
              </w:rPr>
            </w:pPr>
            <w:r>
              <w:rPr>
                <w:rFonts w:hint="eastAsia"/>
                <w:color w:val="000000" w:themeColor="text1"/>
              </w:rPr>
              <w:t xml:space="preserve">供货方案不全面，进度安排、组织架构不合理，没有进度控制、风险控制管理、质量保障措施、安全管理措施，得</w:t>
            </w:r>
            <w:r>
              <w:rPr>
                <w:rFonts w:hint="eastAsia"/>
                <w:color w:val="000000" w:themeColor="text1"/>
              </w:rPr>
              <w:t xml:space="preserve">2</w:t>
            </w:r>
            <w:r>
              <w:rPr>
                <w:rFonts w:hint="eastAsia"/>
                <w:color w:val="000000" w:themeColor="text1"/>
              </w:rPr>
              <w:t xml:space="preserve">分。</w:t>
            </w:r>
            <w:r/>
          </w:p>
          <w:p>
            <w:pPr>
              <w:spacing w:after="0"/>
              <w:rPr>
                <w:rFonts w:hint="eastAsia" w:ascii="宋体" w:hAnsi="宋体" w:cs="宋体"/>
                <w:color w:val="000000" w:themeColor="text1"/>
                <w:szCs w:val="21"/>
              </w:rPr>
            </w:pPr>
            <w:r>
              <w:rPr>
                <w:rFonts w:hint="eastAsia"/>
                <w:color w:val="000000" w:themeColor="text1"/>
              </w:rPr>
              <w:t xml:space="preserve">无内容不得分。</w:t>
            </w:r>
            <w:r/>
          </w:p>
        </w:tc>
        <w:tc>
          <w:tcPr>
            <w:tcW w:w="782"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6分</w:t>
            </w:r>
            <w:r/>
          </w:p>
        </w:tc>
      </w:tr>
      <w:tr>
        <w:trPr>
          <w:jc w:val="center"/>
          <w:trHeight w:val="511"/>
        </w:trPr>
        <w:tc>
          <w:tcPr>
            <w:tcW w:w="778"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4</w:t>
            </w:r>
            <w:r/>
          </w:p>
        </w:tc>
        <w:tc>
          <w:tcPr>
            <w:tcW w:w="1267"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售后服务方案</w:t>
            </w:r>
            <w:r/>
          </w:p>
        </w:tc>
        <w:tc>
          <w:tcPr>
            <w:tcW w:w="6416" w:type="dxa"/>
            <w:vAlign w:val="center"/>
            <w:textDirection w:val="lrTb"/>
            <w:noWrap w:val="false"/>
          </w:tcPr>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售后服务方案全面合理，服务流程及内容具体，响应时间迅速，服务人员齐备，得5分。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售后服务方案较全面，有基本服务流程及内容，响应时间较为迅速，服务人员匹配基本满足需求，得3分。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售后服务方案较片面，服务流程及内容空洞或欠缺，响应时间缓慢，服务人员匹配欠缺，得1分。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无内容不得分。</w:t>
            </w:r>
            <w:r/>
          </w:p>
        </w:tc>
        <w:tc>
          <w:tcPr>
            <w:tcW w:w="782"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5分</w:t>
            </w:r>
            <w:r/>
          </w:p>
        </w:tc>
      </w:tr>
      <w:tr>
        <w:trPr>
          <w:jc w:val="center"/>
          <w:trHeight w:val="1246"/>
        </w:trPr>
        <w:tc>
          <w:tcPr>
            <w:tcW w:w="778"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5</w:t>
            </w:r>
            <w:r/>
          </w:p>
        </w:tc>
        <w:tc>
          <w:tcPr>
            <w:tcW w:w="1267"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质量保证措施</w:t>
            </w:r>
            <w:r/>
          </w:p>
        </w:tc>
        <w:tc>
          <w:tcPr>
            <w:tcW w:w="6416" w:type="dxa"/>
            <w:vAlign w:val="center"/>
            <w:textDirection w:val="lrTb"/>
            <w:noWrap w:val="false"/>
          </w:tcPr>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根据投标人提供的针对产品的质量验收保障方案，从质量验收标准、产品质量把控手段、批量货物整体质量把控手段、管理制度等方面进行评审。</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内控流程完善、质量保证措施科学合理，能够有效保证产品质量的得5分，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内控流程有欠缺、但质量保证措施基本科学合理的得3分，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内控流程不完善、质量保证措施不科学合理，产品质量不能保证的得1分，</w:t>
            </w:r>
            <w:r/>
          </w:p>
          <w:p>
            <w:pPr>
              <w:spacing w:after="0"/>
              <w:rPr>
                <w:rFonts w:hint="eastAsia" w:ascii="宋体" w:hAnsi="宋体" w:cs="宋体"/>
                <w:color w:val="000000" w:themeColor="text1"/>
                <w:szCs w:val="21"/>
              </w:rPr>
            </w:pPr>
            <w:r>
              <w:rPr>
                <w:rFonts w:hint="eastAsia" w:ascii="宋体" w:hAnsi="宋体" w:cs="宋体"/>
                <w:color w:val="000000" w:themeColor="text1"/>
                <w:szCs w:val="21"/>
              </w:rPr>
              <w:t xml:space="preserve">无内容得不得分。</w:t>
            </w:r>
            <w:r/>
          </w:p>
        </w:tc>
        <w:tc>
          <w:tcPr>
            <w:tcW w:w="782" w:type="dxa"/>
            <w:vAlign w:val="center"/>
            <w:textDirection w:val="lrTb"/>
            <w:noWrap w:val="false"/>
          </w:tcPr>
          <w:p>
            <w:pPr>
              <w:jc w:val="center"/>
              <w:spacing w:line="520" w:lineRule="exact"/>
              <w:tabs>
                <w:tab w:val="left" w:pos="2850" w:leader="none"/>
                <w:tab w:val="center" w:pos="4153" w:leader="none"/>
              </w:tabs>
              <w:rPr>
                <w:rFonts w:hint="eastAsia" w:ascii="宋体" w:hAnsi="宋体" w:cs="宋体"/>
                <w:b/>
                <w:color w:val="000000" w:themeColor="text1"/>
                <w:szCs w:val="21"/>
              </w:rPr>
            </w:pPr>
            <w:r>
              <w:rPr>
                <w:rFonts w:hint="eastAsia" w:ascii="宋体" w:hAnsi="宋体" w:cs="宋体"/>
                <w:b/>
                <w:color w:val="000000" w:themeColor="text1"/>
                <w:szCs w:val="21"/>
              </w:rPr>
              <w:t xml:space="preserve">5分</w:t>
            </w:r>
            <w:r/>
          </w:p>
        </w:tc>
      </w:tr>
    </w:tbl>
    <w:p>
      <w:pPr>
        <w:ind w:firstLine="420"/>
        <w:jc w:val="both"/>
        <w:spacing w:after="0" w:line="51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四、磋商小组根据综合评分情况，按照评审得分由高到低顺序推荐3名成交候选供应商，并编写评审报告。评审得分相同的，按照最后报价由低到高的顺序推荐。评审得分且最后报价相同的，按照技术方案优劣顺序推荐。</w:t>
      </w:r>
      <w:r/>
    </w:p>
    <w:p>
      <w:pPr>
        <w:ind w:firstLine="420"/>
        <w:jc w:val="both"/>
        <w:spacing w:after="0" w:line="51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五、采购人按采购文件规定的定标办法确定供应商。供应商放弃成交、因不可抗力提出不能履行合同，采购人可以确定排名第二的成交候选人为供应商，依次类推，或选择重新组织采购。</w:t>
      </w:r>
      <w:r/>
    </w:p>
    <w:p>
      <w:pPr>
        <w:ind w:firstLine="420"/>
        <w:jc w:val="both"/>
        <w:spacing w:after="0" w:line="51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六、本办法未尽事宜，经评标专家集体通过后，形成书面材料，作为本评标办法的补充条款，并按本评标办法及补充条款评标。</w:t>
      </w:r>
      <w:r/>
    </w:p>
    <w:p>
      <w:pPr>
        <w:pStyle w:val="804"/>
        <w:spacing w:after="0"/>
        <w:rPr>
          <w:rFonts w:ascii="Calibri" w:hAnsi="Calibri" w:eastAsia="楷体" w:cs="Calibri"/>
          <w:color w:val="000000" w:themeColor="text1"/>
          <w:sz w:val="21"/>
        </w:rPr>
        <w:pBdr>
          <w:top w:val="none" w:color="000000" w:sz="0" w:space="0"/>
          <w:left w:val="none" w:color="000000" w:sz="0" w:space="0"/>
          <w:bottom w:val="none" w:color="000000" w:sz="0" w:space="0"/>
          <w:right w:val="none" w:color="000000" w:sz="0" w:space="0"/>
        </w:pBdr>
      </w:pPr>
      <w:r>
        <w:rPr>
          <w:rFonts w:ascii="Calibri" w:hAnsi="Calibri" w:eastAsia="楷体" w:cs="Calibri"/>
          <w:color w:val="000000" w:themeColor="text1"/>
          <w:sz w:val="21"/>
        </w:rPr>
        <w:t xml:space="preserve"> </w:t>
      </w:r>
      <w:r/>
    </w:p>
    <w:p>
      <w:pPr>
        <w:spacing w:after="0" w:line="240" w:lineRule="auto"/>
        <w:rPr>
          <w:rFonts w:eastAsia="楷体" w:cs="Calibri"/>
          <w:b/>
          <w:color w:val="000000" w:themeColor="text1"/>
          <w:sz w:val="21"/>
        </w:rPr>
      </w:pPr>
      <w:r>
        <w:rPr>
          <w:rFonts w:eastAsia="楷体" w:cs="Calibri"/>
          <w:b/>
          <w:color w:val="000000" w:themeColor="text1"/>
          <w:sz w:val="21"/>
        </w:rPr>
      </w:r>
      <w:r/>
    </w:p>
    <w:p>
      <w:pPr>
        <w:pStyle w:val="804"/>
        <w:spacing w:after="0"/>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pStyle w:val="804"/>
        <w:spacing w:after="0"/>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pStyle w:val="804"/>
        <w:spacing w:after="0"/>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pStyle w:val="804"/>
        <w:spacing w:after="0"/>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pStyle w:val="804"/>
        <w:spacing w:after="0"/>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第六章</w:t>
      </w:r>
      <w:r>
        <w:rPr>
          <w:rFonts w:ascii="楷体" w:hAnsi="楷体" w:eastAsia="楷体" w:cs="楷体"/>
          <w:color w:val="000000" w:themeColor="text1"/>
          <w:sz w:val="21"/>
        </w:rPr>
        <w:t xml:space="preserve">  </w:t>
      </w:r>
      <w:r>
        <w:rPr>
          <w:rFonts w:ascii="宋体" w:hAnsi="宋体" w:cs="宋体"/>
          <w:color w:val="000000" w:themeColor="text1"/>
          <w:sz w:val="21"/>
        </w:rPr>
        <w:t xml:space="preserve">响应文件的组成和格式</w:t>
      </w:r>
      <w:r/>
    </w:p>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ind w:firstLine="56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firstLine="56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firstLine="56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jc w:val="center"/>
        <w:spacing w:after="0" w:line="85" w:lineRule="atLeast"/>
        <w:rPr>
          <w:rFonts w:hint="eastAsia" w:ascii="宋体" w:hAnsi="宋体" w:cs="宋体"/>
          <w:b/>
          <w:color w:val="000000" w:themeColor="text1"/>
          <w:sz w:val="4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rPr>
      </w:r>
      <w:r/>
    </w:p>
    <w:p>
      <w:pPr>
        <w:jc w:val="center"/>
        <w:spacing w:after="0" w:line="85" w:lineRule="atLeast"/>
        <w:rPr>
          <w:rFonts w:hint="eastAsia" w:ascii="宋体" w:hAnsi="宋体" w:cs="宋体"/>
          <w:b/>
          <w:color w:val="000000" w:themeColor="text1"/>
          <w:sz w:val="4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rPr>
      </w:r>
      <w:r/>
    </w:p>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44"/>
        </w:rPr>
        <w:t xml:space="preserve">竞争性磋商响应文件</w:t>
      </w:r>
      <w:r/>
    </w:p>
    <w:p>
      <w:pPr>
        <w:jc w:val="center"/>
        <w:spacing w:after="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jc w:val="center"/>
        <w:spacing w:after="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jc w:val="center"/>
        <w:spacing w:after="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jc w:val="center"/>
        <w:spacing w:after="0" w:line="36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left="1260" w:firstLine="632"/>
        <w:jc w:val="both"/>
        <w:spacing w:after="0" w:line="85"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ind w:left="1260" w:firstLine="632"/>
        <w:jc w:val="both"/>
        <w:spacing w:after="0" w:line="85"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ind w:left="1260" w:firstLine="632"/>
        <w:jc w:val="both"/>
        <w:spacing w:after="0" w:line="85"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ind w:left="1260" w:firstLine="632"/>
        <w:jc w:val="both"/>
        <w:spacing w:after="0" w:line="85"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ind w:left="1260" w:firstLine="632"/>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项</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目</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名</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称：</w:t>
      </w:r>
      <w:r>
        <w:rPr>
          <w:rFonts w:ascii="Times New Roman" w:hAnsi="Times New Roman" w:eastAsia="Times New Roman"/>
          <w:b/>
          <w:color w:val="000000" w:themeColor="text1"/>
          <w:sz w:val="21"/>
        </w:rPr>
        <w:t xml:space="preserve">  </w:t>
      </w:r>
      <w:r>
        <w:rPr>
          <w:rFonts w:ascii="Times New Roman" w:hAnsi="Times New Roman" w:eastAsia="Times New Roman"/>
          <w:b/>
          <w:color w:val="000000" w:themeColor="text1"/>
          <w:sz w:val="21"/>
          <w:u w:val="single"/>
        </w:rPr>
        <w:t xml:space="preserve">                              </w:t>
      </w:r>
      <w:r>
        <w:rPr>
          <w:rFonts w:ascii="Times New Roman" w:hAnsi="Times New Roman" w:eastAsia="Times New Roman"/>
          <w:b/>
          <w:color w:val="000000" w:themeColor="text1"/>
          <w:sz w:val="21"/>
        </w:rPr>
        <w:t xml:space="preserve">  </w:t>
      </w:r>
      <w:r/>
    </w:p>
    <w:p>
      <w:pPr>
        <w:ind w:left="1260" w:firstLine="632"/>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项</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目</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编</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号：</w:t>
      </w:r>
      <w:r>
        <w:rPr>
          <w:rFonts w:ascii="Times New Roman" w:hAnsi="Times New Roman" w:eastAsia="Times New Roman"/>
          <w:b/>
          <w:color w:val="000000" w:themeColor="text1"/>
          <w:sz w:val="21"/>
        </w:rPr>
        <w:t xml:space="preserve">  </w:t>
      </w:r>
      <w:r>
        <w:rPr>
          <w:rFonts w:ascii="Times New Roman" w:hAnsi="Times New Roman" w:eastAsia="Times New Roman"/>
          <w:b/>
          <w:color w:val="000000" w:themeColor="text1"/>
          <w:sz w:val="21"/>
          <w:u w:val="single"/>
        </w:rPr>
        <w:t xml:space="preserve">                              </w:t>
      </w:r>
      <w:r>
        <w:rPr>
          <w:rFonts w:ascii="Times New Roman" w:hAnsi="Times New Roman" w:eastAsia="Times New Roman"/>
          <w:b/>
          <w:color w:val="000000" w:themeColor="text1"/>
          <w:sz w:val="21"/>
        </w:rPr>
        <w:t xml:space="preserve"> </w:t>
      </w:r>
      <w:r/>
    </w:p>
    <w:p>
      <w:pPr>
        <w:ind w:left="1260" w:firstLine="632"/>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供应商名称：</w:t>
      </w:r>
      <w:r>
        <w:rPr>
          <w:rFonts w:ascii="Times New Roman" w:hAnsi="Times New Roman" w:eastAsia="Times New Roman"/>
          <w:b/>
          <w:color w:val="000000" w:themeColor="text1"/>
          <w:sz w:val="21"/>
        </w:rPr>
        <w:t xml:space="preserve"> </w:t>
      </w:r>
      <w:r>
        <w:rPr>
          <w:rFonts w:ascii="Times New Roman" w:hAnsi="Times New Roman" w:eastAsia="Times New Roman"/>
          <w:b/>
          <w:color w:val="000000" w:themeColor="text1"/>
          <w:sz w:val="21"/>
          <w:u w:val="single"/>
        </w:rPr>
        <w:t xml:space="preserve">         </w:t>
      </w:r>
      <w:r>
        <w:rPr>
          <w:rFonts w:ascii="宋体" w:hAnsi="宋体" w:cs="宋体"/>
          <w:b/>
          <w:color w:val="000000" w:themeColor="text1"/>
          <w:sz w:val="21"/>
          <w:u w:val="single"/>
        </w:rPr>
        <w:t xml:space="preserve">（加盖</w:t>
      </w:r>
      <w:r>
        <w:rPr>
          <w:rFonts w:ascii="Times New Roman" w:hAnsi="Times New Roman" w:eastAsia="Times New Roman"/>
          <w:b/>
          <w:color w:val="000000" w:themeColor="text1"/>
          <w:sz w:val="21"/>
          <w:u w:val="single"/>
        </w:rPr>
        <w:t xml:space="preserve">CA</w:t>
      </w:r>
      <w:r>
        <w:rPr>
          <w:rFonts w:ascii="宋体" w:hAnsi="宋体" w:cs="宋体"/>
          <w:b/>
          <w:color w:val="000000" w:themeColor="text1"/>
          <w:sz w:val="21"/>
          <w:u w:val="single"/>
        </w:rPr>
        <w:t xml:space="preserve">电子公章）</w:t>
      </w:r>
      <w:r>
        <w:rPr>
          <w:rFonts w:ascii="Times New Roman" w:hAnsi="Times New Roman" w:eastAsia="Times New Roman"/>
          <w:b/>
          <w:color w:val="000000" w:themeColor="text1"/>
          <w:sz w:val="21"/>
          <w:u w:val="single"/>
        </w:rPr>
        <w:t xml:space="preserve">    </w:t>
      </w:r>
      <w:r>
        <w:rPr>
          <w:rFonts w:ascii="Times New Roman" w:hAnsi="Times New Roman" w:eastAsia="Times New Roman"/>
          <w:b/>
          <w:color w:val="000000" w:themeColor="text1"/>
          <w:sz w:val="21"/>
        </w:rPr>
        <w:t xml:space="preserve"> </w:t>
      </w:r>
      <w:r/>
    </w:p>
    <w:p>
      <w:pPr>
        <w:ind w:left="1260" w:firstLine="632"/>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联系人及电话：</w:t>
      </w:r>
      <w:r>
        <w:rPr>
          <w:rFonts w:ascii="Times New Roman" w:hAnsi="Times New Roman" w:eastAsia="Times New Roman"/>
          <w:b/>
          <w:color w:val="000000" w:themeColor="text1"/>
          <w:sz w:val="21"/>
          <w:u w:val="single"/>
        </w:rPr>
        <w:t xml:space="preserve">                                </w:t>
      </w:r>
      <w:r/>
    </w:p>
    <w:p>
      <w:pPr>
        <w:ind w:left="1260" w:firstLine="632"/>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日</w:t>
      </w:r>
      <w:r>
        <w:rPr>
          <w:rFonts w:ascii="Times New Roman" w:hAnsi="Times New Roman" w:eastAsia="Times New Roman"/>
          <w:b/>
          <w:color w:val="000000" w:themeColor="text1"/>
          <w:sz w:val="21"/>
        </w:rPr>
        <w:t xml:space="preserve">        </w:t>
      </w:r>
      <w:r>
        <w:rPr>
          <w:rFonts w:ascii="宋体" w:hAnsi="宋体" w:cs="宋体"/>
          <w:b/>
          <w:color w:val="000000" w:themeColor="text1"/>
          <w:sz w:val="21"/>
        </w:rPr>
        <w:t xml:space="preserve">期：</w:t>
      </w:r>
      <w:r>
        <w:rPr>
          <w:rFonts w:ascii="Times New Roman" w:hAnsi="Times New Roman" w:eastAsia="Times New Roman"/>
          <w:b/>
          <w:color w:val="000000" w:themeColor="text1"/>
          <w:sz w:val="21"/>
          <w:u w:val="single"/>
        </w:rPr>
        <w:t xml:space="preserve">                                </w:t>
      </w:r>
      <w:r/>
    </w:p>
    <w:p>
      <w:pPr>
        <w:spacing w:after="0" w:line="240" w:lineRule="auto"/>
        <w:rPr>
          <w:rFonts w:ascii="Times New Roman" w:hAnsi="Times New Roman" w:eastAsia="Times New Roman"/>
          <w:b/>
          <w:color w:val="000000" w:themeColor="text1"/>
          <w:sz w:val="21"/>
        </w:rPr>
      </w:pPr>
      <w:r>
        <w:rPr>
          <w:rFonts w:ascii="Times New Roman" w:hAnsi="Times New Roman" w:eastAsia="Times New Roman"/>
          <w:b/>
          <w:color w:val="000000" w:themeColor="text1"/>
          <w:sz w:val="21"/>
        </w:rPr>
        <w:br w:type="page" w:clear="all"/>
      </w:r>
      <w:r/>
    </w:p>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rPr>
        <w:t xml:space="preserve">目</w:t>
      </w:r>
      <w:r>
        <w:rPr>
          <w:rFonts w:ascii="Times New Roman" w:hAnsi="Times New Roman" w:eastAsia="Times New Roman"/>
          <w:b/>
          <w:color w:val="000000" w:themeColor="text1"/>
          <w:sz w:val="28"/>
        </w:rPr>
        <w:t xml:space="preserve">  </w:t>
      </w:r>
      <w:r>
        <w:rPr>
          <w:rFonts w:ascii="宋体" w:hAnsi="宋体" w:cs="宋体"/>
          <w:b/>
          <w:color w:val="000000" w:themeColor="text1"/>
          <w:sz w:val="28"/>
        </w:rPr>
        <w:t xml:space="preserve">录</w:t>
      </w:r>
      <w:r/>
    </w:p>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themeColor="text1"/>
          <w:sz w:val="28"/>
        </w:rPr>
        <w:t xml:space="preserve"> </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bookmarkStart w:id="10" w:name="OLE_LINK1"/>
      <w:r>
        <w:rPr>
          <w:rFonts w:ascii="宋体" w:hAnsi="宋体" w:cs="宋体"/>
          <w:color w:val="000000" w:themeColor="text1"/>
          <w:sz w:val="21"/>
        </w:rPr>
        <w:t xml:space="preserve">1、响应函（格式）</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2、报价一览表、投标报价明细表</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3、第二轮磋商报价表（附投标报价明细表）</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4、法定代表人身份证明或法定代表人授权委托书（格式）</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5、供应商营业执照</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6、供应商近三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 </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7、供应商近三个月中任意一个月份（不含磋商当月）的依法缴纳税收的相关材料（提供相关主管部门证明或银行代扣证明）扫描件（依法免税的供应商，应提供其依法免税的证明材料）</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8、供应商近三个月中任意一个月份（不含磋商当月）的依法缴纳社会保障资金的相关材料（提供相关主管部门证明或银行代扣证明）扫描件</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9、供应商3年内无重大违法记录声明</w:t>
      </w:r>
      <w:r/>
    </w:p>
    <w:p>
      <w:pPr>
        <w:jc w:val="both"/>
        <w:spacing w:after="0" w:line="23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10、具备履行合同所必需的设备和专业技术能力的书面声明（格式自拟）</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11、中小企业声明函或残疾人福利性单位声明函或监狱企业的证明资料（必需具备其中之一）</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12、投标承诺书（格式）</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t xml:space="preserve">13</w:t>
      </w:r>
      <w:r>
        <w:rPr>
          <w:rFonts w:ascii="宋体" w:hAnsi="宋体" w:cs="宋体"/>
          <w:color w:val="000000" w:themeColor="text1"/>
          <w:sz w:val="21"/>
        </w:rPr>
        <w:t xml:space="preserve">、所投产品的生产厂家药包材注册证或药包材登记号（供应商的产品必须符合国家相关标准、行业规范等）</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（1）所投产品采用的标准加盖CA电子公章</w:t>
      </w:r>
      <w:r>
        <w:rPr>
          <w:rFonts w:hint="eastAsia" w:ascii="宋体" w:hAnsi="宋体" w:cs="宋体"/>
          <w:color w:val="000000" w:themeColor="text1"/>
          <w:sz w:val="21"/>
        </w:rPr>
        <w:t xml:space="preserve">；</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（2）所投产品的生产厂家在国家药品监督管理局药品审评中心药包材登记数据库查询结果为A的截图加盖CA电子公章</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t xml:space="preserve">14</w:t>
      </w:r>
      <w:r>
        <w:rPr>
          <w:rFonts w:ascii="宋体" w:hAnsi="宋体" w:cs="宋体"/>
          <w:color w:val="000000" w:themeColor="text1"/>
          <w:sz w:val="21"/>
        </w:rPr>
        <w:t xml:space="preserve">、商务及技术条款偏离表</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w:t>
      </w:r>
      <w:r>
        <w:rPr>
          <w:rFonts w:hint="eastAsia" w:ascii="宋体" w:hAnsi="宋体" w:cs="宋体"/>
          <w:color w:val="000000" w:themeColor="text1"/>
          <w:sz w:val="21"/>
        </w:rPr>
        <w:t xml:space="preserve">5</w:t>
      </w:r>
      <w:r>
        <w:rPr>
          <w:rFonts w:ascii="宋体" w:hAnsi="宋体" w:cs="宋体"/>
          <w:color w:val="000000" w:themeColor="text1"/>
          <w:sz w:val="21"/>
        </w:rPr>
        <w:t xml:space="preserve">、</w:t>
      </w:r>
      <w:r>
        <w:rPr>
          <w:rFonts w:hint="eastAsia" w:ascii="宋体" w:hAnsi="宋体" w:cs="宋体"/>
          <w:color w:val="000000" w:themeColor="text1"/>
          <w:sz w:val="21"/>
        </w:rPr>
        <w:t xml:space="preserve">评标办法中加分项证明材料（含供货方案、售后服务、质量保证措施等）</w:t>
      </w:r>
      <w:r/>
    </w:p>
    <w:p>
      <w:pPr>
        <w:jc w:val="both"/>
        <w:spacing w:after="0" w:line="23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w:t>
      </w:r>
      <w:r>
        <w:rPr>
          <w:rFonts w:hint="eastAsia" w:ascii="宋体" w:hAnsi="宋体" w:cs="宋体"/>
          <w:color w:val="000000" w:themeColor="text1"/>
          <w:sz w:val="21"/>
        </w:rPr>
        <w:t xml:space="preserve">6</w:t>
      </w:r>
      <w:r>
        <w:rPr>
          <w:rFonts w:ascii="宋体" w:hAnsi="宋体" w:cs="宋体"/>
          <w:color w:val="000000" w:themeColor="text1"/>
          <w:sz w:val="21"/>
        </w:rPr>
        <w:t xml:space="preserve">、供应商认为需提交的其他证明材料（如有）</w:t>
      </w:r>
      <w:bookmarkEnd w:id="10"/>
      <w:r/>
      <w:r/>
    </w:p>
    <w:p>
      <w:pPr>
        <w:pStyle w:val="804"/>
        <w:jc w:val="both"/>
        <w:spacing w:after="0"/>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jc w:val="center"/>
        <w:spacing w:after="0"/>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1、磋商响应函（格式）</w:t>
      </w:r>
      <w:r/>
    </w:p>
    <w:p>
      <w:pPr>
        <w:pStyle w:val="804"/>
        <w:jc w:val="both"/>
        <w:spacing w:after="0"/>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致：泰州瑞恒项目管理有限公司</w:t>
      </w:r>
      <w:r>
        <w:rPr>
          <w:rFonts w:ascii="楷体" w:hAnsi="楷体" w:eastAsia="楷体" w:cs="楷体"/>
          <w:color w:val="000000" w:themeColor="text1"/>
          <w:sz w:val="21"/>
        </w:rPr>
        <w:t xml:space="preserve">                </w:t>
      </w:r>
      <w:r/>
    </w:p>
    <w:p>
      <w:pPr>
        <w:ind w:firstLine="420"/>
        <w:spacing w:after="0"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根据贵方为 </w:t>
      </w:r>
      <w:r>
        <w:rPr>
          <w:rFonts w:ascii="宋体" w:hAnsi="宋体" w:cs="宋体"/>
          <w:color w:val="000000" w:themeColor="text1"/>
          <w:sz w:val="21"/>
          <w:u w:val="single"/>
        </w:rPr>
        <w:t xml:space="preserve">  （项 目 名 称） </w:t>
      </w:r>
      <w:r>
        <w:rPr>
          <w:rFonts w:ascii="宋体" w:hAnsi="宋体" w:cs="宋体"/>
          <w:color w:val="000000" w:themeColor="text1"/>
          <w:sz w:val="21"/>
        </w:rPr>
        <w:t xml:space="preserve">  项目编号为：</w:t>
      </w:r>
      <w:r>
        <w:rPr>
          <w:rFonts w:ascii="宋体" w:hAnsi="宋体" w:cs="宋体"/>
          <w:color w:val="000000" w:themeColor="text1"/>
          <w:sz w:val="21"/>
          <w:u w:val="single"/>
        </w:rPr>
        <w:t xml:space="preserve">          </w:t>
      </w:r>
      <w:r>
        <w:rPr>
          <w:rFonts w:ascii="宋体" w:hAnsi="宋体" w:cs="宋体"/>
          <w:color w:val="000000" w:themeColor="text1"/>
          <w:sz w:val="21"/>
        </w:rPr>
        <w:t xml:space="preserve">号磋商文件，正式授权下述签字人__________(姓名和职务)代表我方___________（供应商的名称），全权处理本次项目磋商的有关事宜。</w:t>
      </w:r>
      <w:r/>
    </w:p>
    <w:p>
      <w:pPr>
        <w:ind w:firstLine="420"/>
        <w:spacing w:after="0" w:line="85" w:lineRule="atLeast"/>
        <w:shd w:val="clear" w:color="ffffff" w:fill="ffff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据此函，签字代表宣布同意如下：</w:t>
      </w:r>
      <w:r/>
    </w:p>
    <w:p>
      <w:pPr>
        <w:ind w:firstLine="420"/>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（1）按磋商文件规定的各项要求，向</w:t>
      </w:r>
      <w:r>
        <w:rPr>
          <w:rFonts w:ascii="宋体" w:hAnsi="宋体" w:cs="宋体"/>
          <w:color w:val="000000" w:themeColor="text1"/>
          <w:sz w:val="21"/>
          <w:u w:val="single"/>
        </w:rPr>
        <w:t xml:space="preserve">    采购单位名称     </w:t>
      </w:r>
      <w:r>
        <w:rPr>
          <w:rFonts w:ascii="宋体" w:hAnsi="宋体" w:cs="宋体"/>
          <w:color w:val="000000" w:themeColor="text1"/>
          <w:sz w:val="21"/>
        </w:rPr>
        <w:t xml:space="preserve">提供所需相关</w:t>
      </w:r>
      <w:r>
        <w:rPr>
          <w:rFonts w:hint="eastAsia" w:ascii="宋体" w:hAnsi="宋体" w:cs="宋体"/>
          <w:color w:val="000000" w:themeColor="text1"/>
          <w:sz w:val="21"/>
        </w:rPr>
        <w:t xml:space="preserve">货物及</w:t>
      </w:r>
      <w:r>
        <w:rPr>
          <w:rFonts w:ascii="宋体" w:hAnsi="宋体" w:cs="宋体"/>
          <w:color w:val="000000" w:themeColor="text1"/>
          <w:sz w:val="21"/>
        </w:rPr>
        <w:t xml:space="preserve">服务，投标总价金额为（大写）：_______________元，（小写）：_______元(人民币)。</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（2）我们完全理解贵方不一定将合同授予最低报价的供应商。</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（3）我们已详细审核全部磋商文件及其有效补充文件，我们知道必须放弃提出含糊不清或误解问题的权利。</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（4）我们同意从规定的响应文件开启之日起遵循本响应文件，并在规定的有效期期满之前均具有约束力。</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（5）如果在响应文件开启后规定的有效期内撤回响应文件或项目成交公告公示后拒绝签订合同，由此给采购人造成损失的，我方将承担赔偿责任。</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（6）同意向贵方提供贵方可能另外要求的与磋商有关的任何证据或资料，并保证我方已提供和将要提供的文件是真实的、准确的。</w:t>
      </w:r>
      <w:r/>
    </w:p>
    <w:p>
      <w:pPr>
        <w:ind w:firstLine="420"/>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（7）一旦我方接到成交通知书，我方将根据磋商文件的规定，严格履行合同的责任和义务，并保证于规定的时间完成本项目，交付</w:t>
      </w:r>
      <w:r>
        <w:rPr>
          <w:rFonts w:hint="eastAsia" w:ascii="宋体" w:hAnsi="宋体" w:cs="宋体"/>
          <w:color w:val="000000" w:themeColor="text1"/>
          <w:sz w:val="21"/>
        </w:rPr>
        <w:t xml:space="preserve">采购人</w:t>
      </w:r>
      <w:r>
        <w:rPr>
          <w:rFonts w:ascii="宋体" w:hAnsi="宋体" w:cs="宋体"/>
          <w:color w:val="000000" w:themeColor="text1"/>
          <w:sz w:val="21"/>
        </w:rPr>
        <w:t xml:space="preserve">验收。保证不将项目全部或者部分转包给第三方。</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（8）我们郑重声明：本单位未为此次项目提供过整体设计、规范编制或者项目管理、监理、检测等服务。</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（9）遵守磋商文件中要求的收费项目和标准。</w:t>
      </w:r>
      <w:r/>
    </w:p>
    <w:p>
      <w:pPr>
        <w:ind w:firstLine="420"/>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（10）与本次磋商有关的正式通讯地址为：</w:t>
      </w:r>
      <w:r>
        <w:rPr>
          <w:rFonts w:hint="eastAsia" w:ascii="宋体" w:hAnsi="宋体" w:cs="宋体"/>
          <w:color w:val="000000" w:themeColor="text1"/>
          <w:sz w:val="21"/>
          <w:u w:val="single"/>
        </w:rPr>
        <w:t xml:space="preserve">                                </w:t>
      </w:r>
      <w:r/>
    </w:p>
    <w:p>
      <w:pPr>
        <w:ind w:firstLine="439"/>
        <w:jc w:val="both"/>
        <w:spacing w:after="0" w:line="85"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供应商（加盖CA电子公章）：</w:t>
      </w:r>
      <w:r>
        <w:rPr>
          <w:rFonts w:ascii="宋体" w:hAnsi="宋体" w:cs="宋体"/>
          <w:color w:val="000000" w:themeColor="text1"/>
          <w:sz w:val="21"/>
          <w:u w:val="single"/>
        </w:rPr>
        <w:t xml:space="preserve">                       </w:t>
      </w:r>
      <w:r/>
    </w:p>
    <w:p>
      <w:pPr>
        <w:ind w:firstLine="439"/>
        <w:jc w:val="both"/>
        <w:spacing w:after="0" w:line="85"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ind w:firstLine="439"/>
        <w:jc w:val="both"/>
        <w:spacing w:after="0" w:line="85"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法定代表人（负责人)或授权代表（签字或盖章）：</w:t>
      </w:r>
      <w:r>
        <w:rPr>
          <w:rFonts w:ascii="宋体" w:hAnsi="宋体" w:cs="宋体"/>
          <w:color w:val="000000" w:themeColor="text1"/>
          <w:sz w:val="28"/>
          <w:u w:val="single"/>
        </w:rPr>
        <w:t xml:space="preserve">               </w:t>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w:t>
      </w:r>
      <w:r>
        <w:rPr>
          <w:rFonts w:hint="eastAsia" w:ascii="宋体" w:hAnsi="宋体" w:cs="宋体"/>
          <w:color w:val="000000" w:themeColor="text1"/>
          <w:sz w:val="21"/>
        </w:rPr>
        <w:t xml:space="preserve"> </w:t>
      </w:r>
      <w:r>
        <w:rPr>
          <w:rFonts w:ascii="宋体" w:hAnsi="宋体" w:cs="宋体"/>
          <w:color w:val="000000" w:themeColor="text1"/>
          <w:sz w:val="21"/>
        </w:rPr>
        <w:t xml:space="preserve"> 期：</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rPr>
          <w:rFonts w:ascii="宋体" w:hAnsi="宋体" w:cs="宋体"/>
          <w:color w:val="000000" w:themeColor="text1"/>
          <w:sz w:val="21"/>
        </w:rPr>
        <w:t xml:space="preserve">年</w:t>
      </w:r>
      <w:r>
        <w:rPr>
          <w:rFonts w:ascii="宋体" w:hAnsi="宋体" w:cs="宋体"/>
          <w:color w:val="000000" w:themeColor="text1"/>
          <w:sz w:val="21"/>
          <w:u w:val="single"/>
        </w:rPr>
        <w:t xml:space="preserve">    </w:t>
      </w:r>
      <w:r>
        <w:rPr>
          <w:rFonts w:ascii="宋体" w:hAnsi="宋体" w:cs="宋体"/>
          <w:color w:val="000000" w:themeColor="text1"/>
          <w:sz w:val="21"/>
        </w:rPr>
        <w:t xml:space="preserve">月</w:t>
      </w:r>
      <w:r>
        <w:rPr>
          <w:rFonts w:ascii="宋体" w:hAnsi="宋体" w:cs="宋体"/>
          <w:color w:val="000000" w:themeColor="text1"/>
          <w:sz w:val="21"/>
          <w:u w:val="single"/>
        </w:rPr>
        <w:t xml:space="preserve">    </w:t>
      </w:r>
      <w:r>
        <w:rPr>
          <w:rFonts w:ascii="宋体" w:hAnsi="宋体" w:cs="宋体"/>
          <w:color w:val="000000" w:themeColor="text1"/>
          <w:sz w:val="21"/>
        </w:rPr>
        <w:t xml:space="preserve">日</w:t>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单位地址：</w:t>
      </w:r>
      <w:r>
        <w:rPr>
          <w:rFonts w:ascii="宋体" w:hAnsi="宋体" w:cs="宋体"/>
          <w:color w:val="000000" w:themeColor="text1"/>
          <w:sz w:val="21"/>
          <w:u w:val="single"/>
        </w:rPr>
        <w:t xml:space="preserve">                          </w:t>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单位开户银行及账户：</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p>
    <w:p>
      <w:pPr>
        <w:ind w:firstLine="439"/>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传 </w:t>
      </w:r>
      <w:r>
        <w:rPr>
          <w:rFonts w:hint="eastAsia" w:ascii="宋体" w:hAnsi="宋体" w:cs="宋体"/>
          <w:color w:val="000000" w:themeColor="text1"/>
          <w:sz w:val="21"/>
        </w:rPr>
        <w:t xml:space="preserve"> </w:t>
      </w:r>
      <w:r>
        <w:rPr>
          <w:rFonts w:ascii="宋体" w:hAnsi="宋体" w:cs="宋体"/>
          <w:color w:val="000000" w:themeColor="text1"/>
          <w:sz w:val="21"/>
        </w:rPr>
        <w:t xml:space="preserve"> 真：</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rPr>
          <w:rFonts w:ascii="宋体" w:hAnsi="宋体" w:cs="宋体"/>
          <w:color w:val="000000" w:themeColor="text1"/>
          <w:sz w:val="21"/>
        </w:rPr>
        <w:t xml:space="preserve">电    话：</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jc w:val="center"/>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2、报价一览表</w:t>
      </w:r>
      <w:r/>
    </w:p>
    <w:p>
      <w:pPr>
        <w:ind w:firstLine="21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1834"/>
        <w:gridCol w:w="3458"/>
        <w:gridCol w:w="3109"/>
      </w:tblGrid>
      <w:tr>
        <w:trPr>
          <w:trHeight w:val="51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泰州市中医院药用包装材料采购及配送项目</w:t>
            </w:r>
            <w:r/>
          </w:p>
        </w:tc>
      </w:tr>
      <w:tr>
        <w:trPr>
          <w:trHeight w:val="4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响应报价（元）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履</w:t>
            </w:r>
            <w:r>
              <w:rPr>
                <w:rFonts w:hint="eastAsia" w:ascii="宋体" w:hAnsi="宋体" w:cs="宋体"/>
                <w:color w:val="000000" w:themeColor="text1"/>
                <w:sz w:val="21"/>
              </w:rPr>
              <w:t xml:space="preserve">约</w:t>
            </w:r>
            <w:r>
              <w:rPr>
                <w:rFonts w:ascii="宋体" w:hAnsi="宋体" w:cs="宋体"/>
                <w:color w:val="000000" w:themeColor="text1"/>
                <w:sz w:val="21"/>
              </w:rPr>
              <w:t xml:space="preserve">期限</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泰州市中医院药用包装材料采购及配送项目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小写：            </w:t>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t xml:space="preserve">1年</w:t>
            </w:r>
            <w:r>
              <w:rPr>
                <w:rFonts w:ascii="宋体" w:hAnsi="宋体" w:cs="宋体"/>
                <w:color w:val="000000" w:themeColor="text1"/>
                <w:sz w:val="21"/>
              </w:rPr>
              <w:t xml:space="preserve"> </w:t>
            </w:r>
            <w:r/>
          </w:p>
        </w:tc>
      </w:tr>
      <w:tr>
        <w:trPr>
          <w:trHeight w:val="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0"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质量标准：                    </w:t>
            </w:r>
            <w:r/>
          </w:p>
        </w:tc>
      </w:tr>
    </w:tbl>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企业名称（加盖CA电子公章）：</w:t>
      </w:r>
      <w:r/>
    </w:p>
    <w:p>
      <w:pPr>
        <w:ind w:firstLine="42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期：</w:t>
      </w:r>
      <w:r/>
    </w:p>
    <w:p>
      <w:pPr>
        <w:spacing w:after="0" w:line="240" w:lineRule="auto"/>
        <w:rPr>
          <w:rFonts w:hint="eastAsia" w:ascii="宋体" w:hAnsi="宋体" w:cs="宋体"/>
          <w:color w:val="000000" w:themeColor="text1"/>
          <w:sz w:val="21"/>
        </w:rPr>
      </w:pPr>
      <w:r>
        <w:rPr>
          <w:rFonts w:hint="eastAsia" w:ascii="宋体" w:hAnsi="宋体" w:cs="宋体"/>
          <w:color w:val="000000" w:themeColor="text1"/>
          <w:sz w:val="21"/>
        </w:rPr>
        <w:br w:type="page" w:clear="all"/>
      </w:r>
      <w:r/>
    </w:p>
    <w:p>
      <w:pPr>
        <w:jc w:val="center"/>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附： </w:t>
      </w:r>
      <w:r>
        <w:rPr>
          <w:rFonts w:hint="eastAsia" w:ascii="宋体" w:hAnsi="宋体" w:cs="宋体"/>
          <w:b/>
          <w:color w:val="000000" w:themeColor="text1"/>
          <w:sz w:val="21"/>
        </w:rPr>
        <w:t xml:space="preserve">报价明细表</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项目名称：</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泰州市中医院药用包装材料采购及配送项目</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项目编号：</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金额单位：人民币</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元</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71"/>
        <w:gridCol w:w="1535"/>
        <w:gridCol w:w="1343"/>
        <w:gridCol w:w="665"/>
        <w:gridCol w:w="716"/>
        <w:gridCol w:w="728"/>
        <w:gridCol w:w="717"/>
        <w:gridCol w:w="1490"/>
        <w:gridCol w:w="1490"/>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品牌及型号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制造商</w:t>
            </w:r>
            <w:r>
              <w:rPr>
                <w:rFonts w:ascii="Times New Roman" w:hAnsi="Times New Roman" w:eastAsia="Times New Roman"/>
                <w:color w:val="000000" w:themeColor="text1"/>
                <w:sz w:val="21"/>
              </w:rPr>
              <w:t xml:space="preserve">/</w:t>
            </w:r>
            <w:r>
              <w:rPr>
                <w:rFonts w:ascii="宋体" w:hAnsi="宋体" w:cs="宋体"/>
                <w:color w:val="000000" w:themeColor="text1"/>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bl>
    <w:p>
      <w:pPr>
        <w:jc w:val="right"/>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left="525" w:right="-5" w:hanging="525"/>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firstLine="357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企业名称（加盖CA电子公章）：</w:t>
      </w:r>
      <w:r/>
    </w:p>
    <w:p>
      <w:pPr>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rPr>
          <w:rFonts w:ascii="Times New Roman" w:hAnsi="Times New Roman" w:eastAsia="Times New Roman"/>
          <w:color w:val="000000" w:themeColor="text1"/>
          <w:sz w:val="21"/>
        </w:rPr>
        <w:tab/>
      </w:r>
      <w:r>
        <w:rPr>
          <w:rFonts w:ascii="宋体" w:hAnsi="宋体" w:cs="宋体"/>
          <w:color w:val="000000" w:themeColor="text1"/>
          <w:sz w:val="21"/>
        </w:rPr>
        <w:t xml:space="preserve">日期：</w:t>
      </w:r>
      <w:r>
        <w:rPr>
          <w:rFonts w:ascii="Times New Roman" w:hAnsi="Times New Roman" w:eastAsia="Times New Roman"/>
          <w:color w:val="000000" w:themeColor="text1"/>
          <w:sz w:val="21"/>
        </w:rPr>
        <w:t xml:space="preserve">     </w:t>
      </w:r>
      <w:r/>
    </w:p>
    <w:p>
      <w:pPr>
        <w:jc w:val="both"/>
        <w:spacing w:after="120" w:line="71" w:lineRule="atLeast"/>
        <w:tabs>
          <w:tab w:val="left" w:pos="84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注：</w:t>
      </w:r>
      <w:r/>
    </w:p>
    <w:p>
      <w:pPr>
        <w:jc w:val="both"/>
        <w:spacing w:after="120" w:line="71" w:lineRule="atLeast"/>
        <w:tabs>
          <w:tab w:val="left" w:pos="840" w:leader="none"/>
        </w:tabs>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1</w:t>
      </w:r>
      <w:r>
        <w:rPr>
          <w:rFonts w:ascii="宋体" w:hAnsi="宋体" w:cs="宋体"/>
          <w:color w:val="000000" w:themeColor="text1"/>
          <w:sz w:val="21"/>
        </w:rPr>
        <w:t xml:space="preserve">、“</w:t>
      </w:r>
      <w:r>
        <w:rPr>
          <w:rFonts w:hint="eastAsia" w:ascii="宋体" w:hAnsi="宋体" w:cs="宋体"/>
          <w:color w:val="000000" w:themeColor="text1"/>
          <w:sz w:val="21"/>
        </w:rPr>
        <w:t xml:space="preserve">投标报价明细表</w:t>
      </w:r>
      <w:r>
        <w:rPr>
          <w:rFonts w:ascii="宋体" w:hAnsi="宋体" w:cs="宋体"/>
          <w:color w:val="000000" w:themeColor="text1"/>
          <w:sz w:val="21"/>
        </w:rPr>
        <w:t xml:space="preserve">”中“合计”金额应当与“开标一览表”中“响应总价”金额一致。</w:t>
      </w:r>
      <w:r/>
    </w:p>
    <w:p>
      <w:pPr>
        <w:spacing w:after="0" w:line="240" w:lineRule="auto"/>
        <w:rPr>
          <w:rFonts w:ascii="Times New Roman" w:hAnsi="Times New Roman" w:eastAsia="Times New Roman"/>
          <w:color w:val="000000" w:themeColor="text1"/>
          <w:sz w:val="21"/>
        </w:rPr>
      </w:pPr>
      <w:r>
        <w:rPr>
          <w:rFonts w:ascii="Times New Roman" w:hAnsi="Times New Roman" w:eastAsia="Times New Roman"/>
          <w:color w:val="000000" w:themeColor="text1"/>
          <w:sz w:val="21"/>
        </w:rPr>
        <w:br w:type="page" w:clear="all"/>
      </w:r>
      <w:r/>
    </w:p>
    <w:p>
      <w:pPr>
        <w:jc w:val="center"/>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3、第</w:t>
      </w:r>
      <w:r>
        <w:rPr>
          <w:rFonts w:ascii="宋体" w:hAnsi="宋体" w:cs="宋体"/>
          <w:b/>
          <w:color w:val="000000" w:themeColor="text1"/>
          <w:sz w:val="21"/>
          <w:u w:val="single"/>
        </w:rPr>
        <w:t xml:space="preserve">    </w:t>
      </w:r>
      <w:r>
        <w:rPr>
          <w:rFonts w:ascii="宋体" w:hAnsi="宋体" w:cs="宋体"/>
          <w:b/>
          <w:color w:val="000000" w:themeColor="text1"/>
          <w:sz w:val="21"/>
        </w:rPr>
        <w:t xml:space="preserve">轮磋商报价表</w:t>
      </w:r>
      <w:r/>
    </w:p>
    <w:p>
      <w:pPr>
        <w:ind w:firstLine="21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21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1834"/>
        <w:gridCol w:w="4188"/>
        <w:gridCol w:w="2379"/>
      </w:tblGrid>
      <w:tr>
        <w:trPr>
          <w:trHeight w:val="51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泰州市中医院药用包装材料采购及配送项目</w:t>
            </w:r>
            <w:r/>
          </w:p>
        </w:tc>
      </w:tr>
      <w:tr>
        <w:trPr>
          <w:trHeight w:val="5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3"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响应报价（元）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履</w:t>
            </w:r>
            <w:r>
              <w:rPr>
                <w:rFonts w:hint="eastAsia" w:ascii="宋体" w:hAnsi="宋体" w:cs="宋体"/>
                <w:color w:val="000000" w:themeColor="text1"/>
                <w:sz w:val="21"/>
              </w:rPr>
              <w:t xml:space="preserve">约</w:t>
            </w:r>
            <w:r>
              <w:rPr>
                <w:rFonts w:ascii="宋体" w:hAnsi="宋体" w:cs="宋体"/>
                <w:color w:val="000000" w:themeColor="text1"/>
                <w:sz w:val="21"/>
              </w:rPr>
              <w:t xml:space="preserve">期限</w:t>
            </w:r>
            <w:r/>
          </w:p>
        </w:tc>
      </w:tr>
      <w:tr>
        <w:trPr>
          <w:trHeight w:val="1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泰州市中医院药用包装材料采购及配送项目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8"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小写：            </w:t>
            </w:r>
            <w:r/>
          </w:p>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jc w:val="cente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t xml:space="preserve">1年</w:t>
            </w:r>
            <w:r>
              <w:rPr>
                <w:rFonts w:ascii="宋体" w:hAnsi="宋体" w:cs="宋体"/>
                <w:color w:val="000000" w:themeColor="text1"/>
                <w:sz w:val="21"/>
              </w:rPr>
              <w:t xml:space="preserve"> </w:t>
            </w:r>
            <w:r/>
          </w:p>
        </w:tc>
      </w:tr>
      <w:tr>
        <w:trPr>
          <w:trHeight w:val="10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0" w:type="dxa"/>
            <w:vAlign w:val="center"/>
            <w:textDirection w:val="lrTb"/>
            <w:noWrap w:val="false"/>
          </w:tcPr>
          <w:p>
            <w:pPr>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质量标准：                  </w:t>
            </w:r>
            <w:r/>
          </w:p>
        </w:tc>
      </w:tr>
    </w:tbl>
    <w:p>
      <w:pPr>
        <w:ind w:firstLine="420"/>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企业名称（加盖CA电子公章）：</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期：</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center"/>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附： </w:t>
      </w:r>
      <w:r>
        <w:rPr>
          <w:rFonts w:hint="eastAsia" w:ascii="宋体" w:hAnsi="宋体" w:cs="宋体"/>
          <w:b/>
          <w:color w:val="000000" w:themeColor="text1"/>
          <w:sz w:val="21"/>
        </w:rPr>
        <w:t xml:space="preserve">投标报价明细表</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项目名称：</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泰州市中医院药用包装材料采购及配送项目</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项目编号：</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金额单位：人民币</w:t>
      </w: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元</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71"/>
        <w:gridCol w:w="1535"/>
        <w:gridCol w:w="1343"/>
        <w:gridCol w:w="665"/>
        <w:gridCol w:w="716"/>
        <w:gridCol w:w="728"/>
        <w:gridCol w:w="717"/>
        <w:gridCol w:w="1490"/>
        <w:gridCol w:w="1490"/>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品牌及型号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制造商</w:t>
            </w:r>
            <w:r>
              <w:rPr>
                <w:rFonts w:ascii="Times New Roman" w:hAnsi="Times New Roman" w:eastAsia="Times New Roman"/>
                <w:color w:val="000000" w:themeColor="text1"/>
                <w:sz w:val="21"/>
              </w:rPr>
              <w:t xml:space="preserve">/</w:t>
            </w:r>
            <w:r>
              <w:rPr>
                <w:rFonts w:ascii="宋体" w:hAnsi="宋体" w:cs="宋体"/>
                <w:color w:val="000000" w:themeColor="text1"/>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备注</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ind w:right="-5"/>
              <w:jc w:val="center"/>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tc>
      </w:tr>
    </w:tbl>
    <w:p>
      <w:pPr>
        <w:jc w:val="right"/>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left="525" w:right="-5" w:hanging="525"/>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rPr>
          <w:rFonts w:ascii="宋体" w:hAnsi="宋体" w:cs="宋体"/>
          <w:color w:val="000000" w:themeColor="text1"/>
          <w:sz w:val="21"/>
        </w:rPr>
        <w:t xml:space="preserve">企业名称（加盖CA电子公章）：</w:t>
      </w:r>
      <w:r/>
    </w:p>
    <w:p>
      <w:pPr>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rPr>
          <w:rFonts w:ascii="Times New Roman" w:hAnsi="Times New Roman" w:eastAsia="Times New Roman"/>
          <w:color w:val="000000" w:themeColor="text1"/>
          <w:sz w:val="21"/>
        </w:rPr>
        <w:tab/>
      </w:r>
      <w:r>
        <w:rPr>
          <w:rFonts w:ascii="宋体" w:hAnsi="宋体" w:cs="宋体"/>
          <w:color w:val="000000" w:themeColor="text1"/>
          <w:sz w:val="21"/>
        </w:rPr>
        <w:t xml:space="preserve">日期：</w:t>
      </w:r>
      <w:r>
        <w:rPr>
          <w:rFonts w:ascii="Times New Roman" w:hAnsi="Times New Roman" w:eastAsia="Times New Roman"/>
          <w:color w:val="000000" w:themeColor="text1"/>
          <w:sz w:val="21"/>
        </w:rPr>
        <w:t xml:space="preserve">     </w:t>
      </w:r>
      <w:r/>
    </w:p>
    <w:p>
      <w:pPr>
        <w:jc w:val="both"/>
        <w:spacing w:after="120" w:line="71" w:lineRule="atLeast"/>
        <w:tabs>
          <w:tab w:val="left" w:pos="84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注：</w:t>
      </w:r>
      <w:r/>
    </w:p>
    <w:p>
      <w:pPr>
        <w:jc w:val="both"/>
        <w:spacing w:after="120" w:line="71" w:lineRule="atLeast"/>
        <w:tabs>
          <w:tab w:val="left" w:pos="840" w:leader="none"/>
        </w:tabs>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1</w:t>
      </w:r>
      <w:r>
        <w:rPr>
          <w:rFonts w:ascii="宋体" w:hAnsi="宋体" w:cs="宋体"/>
          <w:color w:val="000000" w:themeColor="text1"/>
          <w:sz w:val="21"/>
        </w:rPr>
        <w:t xml:space="preserve">、“</w:t>
      </w:r>
      <w:r>
        <w:rPr>
          <w:rFonts w:hint="eastAsia" w:ascii="宋体" w:hAnsi="宋体" w:cs="宋体"/>
          <w:color w:val="000000" w:themeColor="text1"/>
          <w:sz w:val="21"/>
        </w:rPr>
        <w:t xml:space="preserve">投标报价明细表</w:t>
      </w:r>
      <w:r>
        <w:rPr>
          <w:rFonts w:ascii="宋体" w:hAnsi="宋体" w:cs="宋体"/>
          <w:color w:val="000000" w:themeColor="text1"/>
          <w:sz w:val="21"/>
        </w:rPr>
        <w:t xml:space="preserve">”中“合计”金额应当与“开标一览表”中“响应总价”金额一致。</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1"/>
        </w:rPr>
        <w:t xml:space="preserve"> </w:t>
      </w:r>
      <w:r/>
    </w:p>
    <w:p>
      <w:pPr>
        <w:pStyle w:val="804"/>
        <w:spacing w:after="0"/>
        <w:rPr>
          <w:rFonts w:hint="eastAsia"/>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4、法定代表人身份证明或法定代表人授权委托书</w:t>
      </w:r>
      <w:r/>
    </w:p>
    <w:p>
      <w:pPr>
        <w:ind w:firstLine="315"/>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u w:val="single"/>
        </w:rPr>
        <w:t xml:space="preserve">（法定代表人姓名）</w:t>
      </w:r>
      <w:r>
        <w:rPr>
          <w:rFonts w:ascii="宋体" w:hAnsi="宋体" w:cs="宋体"/>
          <w:color w:val="000000" w:themeColor="text1"/>
          <w:sz w:val="21"/>
        </w:rPr>
        <w:t xml:space="preserve">在</w:t>
      </w:r>
      <w:r>
        <w:rPr>
          <w:rFonts w:ascii="宋体" w:hAnsi="宋体" w:cs="宋体"/>
          <w:color w:val="000000" w:themeColor="text1"/>
          <w:sz w:val="21"/>
          <w:u w:val="single"/>
        </w:rPr>
        <w:t xml:space="preserve">（供应商名称）</w:t>
      </w:r>
      <w:r>
        <w:rPr>
          <w:rFonts w:ascii="宋体" w:hAnsi="宋体" w:cs="宋体"/>
          <w:color w:val="000000" w:themeColor="text1"/>
          <w:sz w:val="21"/>
        </w:rPr>
        <w:t xml:space="preserve">处任</w:t>
      </w:r>
      <w:r>
        <w:rPr>
          <w:rFonts w:ascii="宋体" w:hAnsi="宋体" w:cs="宋体"/>
          <w:color w:val="000000" w:themeColor="text1"/>
          <w:sz w:val="21"/>
          <w:u w:val="single"/>
        </w:rPr>
        <w:t xml:space="preserve">（职务名称）</w:t>
      </w:r>
      <w:r>
        <w:rPr>
          <w:rFonts w:ascii="宋体" w:hAnsi="宋体" w:cs="宋体"/>
          <w:color w:val="000000" w:themeColor="text1"/>
          <w:sz w:val="21"/>
        </w:rPr>
        <w:t xml:space="preserve">职务，是</w:t>
      </w:r>
      <w:r>
        <w:rPr>
          <w:rFonts w:ascii="宋体" w:hAnsi="宋体" w:cs="宋体"/>
          <w:color w:val="000000" w:themeColor="text1"/>
          <w:sz w:val="21"/>
          <w:u w:val="single"/>
        </w:rPr>
        <w:t xml:space="preserve">（供应商位名称）</w:t>
      </w:r>
      <w:r>
        <w:rPr>
          <w:rFonts w:ascii="宋体" w:hAnsi="宋体" w:cs="宋体"/>
          <w:color w:val="000000" w:themeColor="text1"/>
          <w:sz w:val="21"/>
        </w:rPr>
        <w:t xml:space="preserve">的法定代表人。</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315"/>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315"/>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特此证明。</w:t>
      </w:r>
      <w:r/>
    </w:p>
    <w:p>
      <w:pPr>
        <w:ind w:firstLine="315"/>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单位名称：（加盖CA电子公章）</w:t>
      </w:r>
      <w:r/>
    </w:p>
    <w:p>
      <w:pPr>
        <w:ind w:firstLine="315"/>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日期：年 月 日</w:t>
      </w:r>
      <w:r/>
    </w:p>
    <w:p>
      <w:pPr>
        <w:ind w:firstLine="48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说明：上述证明文件在响应文件中附有法定代表人身份证扫描件（身份证两面均应复印，身份证扫描件加盖公章）或护照扫描件（供应商的法定代表人为外籍人士的，则提供护照扫描件）时才能生效；</w:t>
      </w:r>
      <w:r/>
    </w:p>
    <w:p>
      <w:pPr>
        <w:ind w:firstLine="48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jc w:val="both"/>
        <w:spacing w:after="0" w:line="5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法定代表人身份证扫描件（正反两面均需复印）：</w:t>
      </w:r>
      <w:r/>
    </w:p>
    <w:p>
      <w:pPr>
        <w:ind w:firstLine="48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40"/>
        <w:gridCol w:w="1528"/>
        <w:gridCol w:w="3963"/>
      </w:tblGrid>
      <w:tr>
        <w:trPr>
          <w:trHeight w:val="26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1" w:type="dxa"/>
            <w:textDirection w:val="lrTb"/>
            <w:noWrap w:val="false"/>
          </w:tcPr>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法定代表人身份证正面扫描件</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49" w:type="dxa"/>
            <w:textDirection w:val="lrTb"/>
            <w:noWrap w:val="false"/>
          </w:tcPr>
          <w:p>
            <w:pPr>
              <w:ind w:left="621"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7" w:type="dxa"/>
            <w:textDirection w:val="lrTb"/>
            <w:noWrap w:val="false"/>
          </w:tcPr>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法定代表人身份证反面扫描件</w:t>
            </w:r>
            <w:r/>
          </w:p>
          <w:p>
            <w:pPr>
              <w:ind w:firstLine="1418"/>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r>
    </w:tbl>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法定代表人授权书</w:t>
      </w:r>
      <w:r/>
    </w:p>
    <w:p>
      <w:pPr>
        <w:jc w:val="center"/>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__________________（采购人名称）：</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本授权声明：</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rPr>
        <w:t xml:space="preserve">（供应商单位名称）</w:t>
      </w:r>
      <w:r>
        <w:rPr>
          <w:rFonts w:hint="eastAsia" w:ascii="宋体" w:hAnsi="宋体" w:cs="宋体"/>
          <w:color w:val="000000" w:themeColor="text1"/>
          <w:sz w:val="21"/>
          <w:u w:val="single"/>
        </w:rPr>
        <w:t xml:space="preserve"> </w:t>
      </w:r>
      <w:r>
        <w:rPr>
          <w:rFonts w:ascii="宋体" w:hAnsi="宋体" w:cs="宋体"/>
          <w:color w:val="000000" w:themeColor="text1"/>
          <w:sz w:val="21"/>
          <w:u w:val="single"/>
        </w:rPr>
        <w:t xml:space="preserve">       </w:t>
      </w:r>
      <w:r>
        <w:rPr>
          <w:rFonts w:ascii="宋体" w:hAnsi="宋体" w:cs="宋体"/>
          <w:color w:val="000000" w:themeColor="text1"/>
          <w:sz w:val="21"/>
        </w:rPr>
        <w:t xml:space="preserve">（法定代表人姓名、职务）授权</w:t>
      </w:r>
      <w:r>
        <w:rPr>
          <w:rFonts w:ascii="宋体" w:hAnsi="宋体" w:cs="宋体"/>
          <w:color w:val="000000" w:themeColor="text1"/>
          <w:sz w:val="21"/>
          <w:u w:val="single"/>
        </w:rPr>
        <w:t xml:space="preserve">      </w:t>
      </w:r>
      <w:r>
        <w:rPr>
          <w:rFonts w:hint="eastAsia" w:ascii="宋体" w:hAnsi="宋体" w:cs="宋体"/>
          <w:color w:val="000000" w:themeColor="text1"/>
          <w:sz w:val="21"/>
          <w:u w:val="single"/>
        </w:rPr>
        <w:t xml:space="preserve"> </w:t>
      </w:r>
      <w:r>
        <w:rPr>
          <w:rFonts w:ascii="宋体" w:hAnsi="宋体" w:cs="宋体"/>
          <w:color w:val="000000" w:themeColor="text1"/>
          <w:sz w:val="21"/>
        </w:rPr>
        <w:t xml:space="preserve">（被委托代理人姓名、职务）为我方“ </w:t>
      </w:r>
      <w:r>
        <w:rPr>
          <w:rFonts w:ascii="宋体" w:hAnsi="宋体" w:cs="宋体"/>
          <w:color w:val="000000" w:themeColor="text1"/>
          <w:sz w:val="21"/>
          <w:u w:val="single"/>
        </w:rPr>
        <w:t xml:space="preserve">           </w:t>
      </w:r>
      <w:r>
        <w:rPr>
          <w:rFonts w:ascii="宋体" w:hAnsi="宋体" w:cs="宋体"/>
          <w:color w:val="000000" w:themeColor="text1"/>
          <w:sz w:val="21"/>
        </w:rPr>
        <w:t xml:space="preserve">”项目磋商活动的合法代表，以我方名义全权处理该项目有关磋商、签订合同以及执行合同等一切事宜。</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特此声明。</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法定代表人（签字或盖章）：</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授权代表（签字或盖章）：</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单位名称：（加盖CA电子公章）</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期：</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说明：</w:t>
      </w:r>
      <w:r/>
    </w:p>
    <w:p>
      <w:pPr>
        <w:ind w:firstLine="420"/>
        <w:jc w:val="both"/>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上述证明文件在响应文件中附有代理人身份证扫描件（身份证两面均应复印，身份证扫描件加盖公章）时才能生效</w:t>
      </w:r>
      <w:r>
        <w:rPr>
          <w:rFonts w:hint="eastAsia" w:ascii="宋体" w:hAnsi="宋体" w:cs="宋体"/>
          <w:color w:val="000000" w:themeColor="text1"/>
          <w:sz w:val="21"/>
        </w:rPr>
        <w:t xml:space="preserve">。</w:t>
      </w:r>
      <w:r/>
    </w:p>
    <w:p>
      <w:pPr>
        <w:jc w:val="both"/>
        <w:spacing w:after="0" w:line="400"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pStyle w:val="824"/>
        <w:rPr>
          <w:rFonts w:hint="eastAsia" w:ascii="宋体" w:hAnsi="宋体" w:cs="宋体"/>
          <w:b/>
          <w:color w:val="000000" w:themeColor="text1"/>
          <w:sz w:val="21"/>
        </w:rPr>
      </w:pPr>
      <w:r>
        <w:rPr>
          <w:rFonts w:hint="eastAsia" w:ascii="宋体" w:hAnsi="宋体" w:cs="宋体"/>
          <w:b/>
          <w:color w:val="000000" w:themeColor="text1"/>
          <w:sz w:val="21"/>
        </w:rPr>
      </w:r>
      <w:r/>
    </w:p>
    <w:p>
      <w:pPr>
        <w:rPr>
          <w:color w:val="000000" w:themeColor="text1"/>
        </w:rPr>
      </w:pPr>
      <w:r>
        <w:rPr>
          <w:color w:val="000000" w:themeColor="text1"/>
        </w:rPr>
      </w:r>
      <w:r/>
    </w:p>
    <w:p>
      <w:pPr>
        <w:ind w:firstLine="48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授权代表身份证扫描件（正反两面均需复印）：</w:t>
      </w:r>
      <w:r/>
    </w:p>
    <w:p>
      <w:pPr>
        <w:ind w:firstLine="48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031"/>
        <w:gridCol w:w="906"/>
        <w:gridCol w:w="4207"/>
      </w:tblGrid>
      <w:tr>
        <w:trPr>
          <w:trHeight w:val="26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1" w:type="dxa"/>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被委托代理人身份证正面扫描件</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69" w:type="dxa"/>
            <w:textDirection w:val="lrTb"/>
            <w:noWrap w:val="false"/>
          </w:tcPr>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7" w:type="dxa"/>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80"/>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被委托代理人身份证反面扫描件</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tc>
      </w:tr>
    </w:tbl>
    <w:p>
      <w:pPr>
        <w:ind w:right="105" w:firstLine="420"/>
        <w:jc w:val="both"/>
        <w:spacing w:after="0" w:line="6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br w:type="page" w:clear="all"/>
      </w:r>
      <w:r/>
    </w:p>
    <w:p>
      <w:pPr>
        <w:spacing w:after="0"/>
        <w:rPr>
          <w:color w:val="000000" w:themeColor="text1"/>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1"/>
        </w:rPr>
        <w:t xml:space="preserve"> </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5、供应商营业执照（扫描件加盖CA电子公章）</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6、供应商近三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加盖CA电子公章）</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7、供应商近三个月中任意一个月份（不含磋商当月）的依法缴纳税收的相关材料（提供相关主管部门证明或银行代扣证明）扫描件（依法免税的供应商，应提供其依法免税的证明材料）；（加盖CA电子公章）</w:t>
      </w:r>
      <w:r/>
    </w:p>
    <w:p>
      <w:pPr>
        <w:spacing w:after="0" w:line="240" w:lineRule="auto"/>
        <w:rPr>
          <w:color w:val="000000" w:themeColor="text1"/>
        </w:rPr>
      </w:pPr>
      <w:r>
        <w:rPr>
          <w:color w:val="000000" w:themeColor="text1"/>
        </w:rPr>
        <w:br w:type="page" w:clear="all"/>
      </w:r>
      <w:r/>
    </w:p>
    <w:p>
      <w:pPr>
        <w:numPr>
          <w:ilvl w:val="0"/>
          <w:numId w:val="7"/>
        </w:num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供应商近三个月中任意一个月份（不含磋商当月）的依法缴纳社会保障资金的相关材料（提供相关主管部门证明或银行代扣证明）扫描件；（加盖CA电子公章）</w:t>
      </w:r>
      <w:r/>
    </w:p>
    <w:p>
      <w:pPr>
        <w:ind w:left="212"/>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9</w:t>
      </w:r>
      <w:r>
        <w:rPr>
          <w:rFonts w:ascii="宋体" w:hAnsi="宋体" w:cs="宋体"/>
          <w:b/>
          <w:color w:val="000000" w:themeColor="text1"/>
          <w:sz w:val="21"/>
        </w:rPr>
        <w:t xml:space="preserve">、参加政府采购活动前3年内在经营活动中没有重大违法记录的书面声明(参考格式)</w:t>
      </w:r>
      <w:r/>
    </w:p>
    <w:p>
      <w:pPr>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center"/>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声 明</w:t>
      </w:r>
      <w:r/>
    </w:p>
    <w:p>
      <w:pPr>
        <w:ind w:firstLine="416"/>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我公司郑重声明：参加本次政府采购活动前3年内，我公司在经营活动中没有因违法经营受到刑事处罚或者责令停产停业、吊销许可证或者执照、较大数额罚款等行政处罚。</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center"/>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rPr>
          <w:rFonts w:hint="eastAsia" w:ascii="宋体" w:hAnsi="宋体" w:cs="宋体"/>
          <w:color w:val="000000" w:themeColor="text1"/>
          <w:sz w:val="21"/>
        </w:rPr>
        <w:t xml:space="preserve"> </w:t>
      </w:r>
      <w:r>
        <w:rPr>
          <w:rFonts w:ascii="宋体" w:hAnsi="宋体" w:cs="宋体"/>
          <w:color w:val="000000" w:themeColor="text1"/>
          <w:sz w:val="21"/>
        </w:rPr>
        <w:t xml:space="preserve"> </w:t>
      </w:r>
      <w:r>
        <w:rPr>
          <w:rFonts w:hint="eastAsia" w:ascii="宋体" w:hAnsi="宋体" w:cs="宋体"/>
          <w:color w:val="000000" w:themeColor="text1"/>
          <w:sz w:val="21"/>
        </w:rPr>
        <w:t xml:space="preserve"> </w:t>
      </w:r>
      <w:r>
        <w:rPr>
          <w:rFonts w:ascii="宋体" w:hAnsi="宋体" w:cs="宋体"/>
          <w:color w:val="000000" w:themeColor="text1"/>
          <w:sz w:val="21"/>
        </w:rPr>
        <w:t xml:space="preserve"> 供应商名称（加盖CA电子公章）：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right="600" w:firstLine="3675"/>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法定代表人（授权代表）（签字或盖章）：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right"/>
        <w:spacing w:after="0" w:line="41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期：</w:t>
      </w:r>
      <w:r>
        <w:rPr>
          <w:rFonts w:hint="eastAsia" w:ascii="宋体" w:hAnsi="宋体" w:cs="宋体"/>
          <w:color w:val="000000" w:themeColor="text1"/>
          <w:sz w:val="21"/>
        </w:rPr>
        <w:t xml:space="preserve"> </w:t>
      </w:r>
      <w:r>
        <w:rPr>
          <w:rFonts w:ascii="宋体" w:hAnsi="宋体" w:cs="宋体"/>
          <w:color w:val="000000" w:themeColor="text1"/>
          <w:sz w:val="21"/>
        </w:rPr>
        <w:t xml:space="preserve">   年    月    日 </w:t>
      </w:r>
      <w:r>
        <w:rPr>
          <w:rFonts w:ascii="宋体" w:hAnsi="宋体" w:cs="宋体"/>
          <w:color w:val="000000" w:themeColor="text1"/>
          <w:sz w:val="24"/>
        </w:rPr>
        <w:t xml:space="preserve">  </w:t>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spacing w:after="0" w:line="240" w:lineRule="auto"/>
        <w:rPr>
          <w:color w:val="000000" w:themeColor="text1"/>
        </w:rPr>
      </w:pPr>
      <w:r>
        <w:rPr>
          <w:color w:val="000000" w:themeColor="text1"/>
        </w:rPr>
        <w:br w:type="page" w:clear="all"/>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10、具备履行合同所必需的设备和专业技术能力的书面声明（格式自拟）（加盖CA电子公章）</w:t>
      </w:r>
      <w:r/>
    </w:p>
    <w:p>
      <w:pPr>
        <w:ind w:left="420" w:firstLine="420"/>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color w:val="000000" w:themeColor="text1"/>
        </w:rPr>
      </w:pPr>
      <w:r>
        <w:rPr>
          <w:color w:val="000000" w:themeColor="text1"/>
        </w:rPr>
        <w:br w:type="page" w:clear="all"/>
      </w:r>
      <w:r/>
    </w:p>
    <w:p>
      <w:pPr>
        <w:ind w:left="420" w:firstLine="420"/>
        <w:jc w:val="cente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hint="eastAsia"/>
          <w:color w:val="000000" w:themeColor="text1"/>
        </w:rPr>
        <w:t xml:space="preserve">11</w:t>
      </w:r>
      <w:r>
        <w:rPr>
          <w:rFonts w:hint="eastAsia"/>
          <w:color w:val="000000" w:themeColor="text1"/>
        </w:rPr>
        <w:t xml:space="preserve">、</w:t>
      </w:r>
      <w:r>
        <w:rPr>
          <w:rFonts w:ascii="宋体" w:hAnsi="宋体" w:cs="宋体"/>
          <w:b/>
          <w:color w:val="000000" w:themeColor="text1"/>
          <w:sz w:val="21"/>
        </w:rPr>
        <w:t xml:space="preserve">中小企业声明函</w:t>
      </w:r>
      <w:r/>
    </w:p>
    <w:p>
      <w:pPr>
        <w:jc w:val="both"/>
        <w:spacing w:after="12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本公司（联合体）郑重声明，根据《政府采购促进中小企业发展管理办法》（财库〔2020〕46 号）的规定，本公司（联合体）参加</w:t>
      </w:r>
      <w:r>
        <w:rPr>
          <w:rFonts w:ascii="宋体" w:hAnsi="宋体" w:cs="宋体"/>
          <w:color w:val="000000" w:themeColor="text1"/>
          <w:sz w:val="21"/>
          <w:u w:val="single"/>
        </w:rPr>
        <w:t xml:space="preserve">（单位名称）</w:t>
      </w:r>
      <w:r>
        <w:rPr>
          <w:rFonts w:ascii="宋体" w:hAnsi="宋体" w:cs="宋体"/>
          <w:color w:val="000000" w:themeColor="text1"/>
          <w:sz w:val="21"/>
        </w:rPr>
        <w:t xml:space="preserve">的</w:t>
      </w:r>
      <w:r>
        <w:rPr>
          <w:rFonts w:ascii="宋体" w:hAnsi="宋体" w:cs="宋体"/>
          <w:color w:val="000000" w:themeColor="text1"/>
          <w:sz w:val="21"/>
          <w:u w:val="single"/>
        </w:rPr>
        <w:t xml:space="preserve">（项目名称）</w:t>
      </w:r>
      <w:r>
        <w:rPr>
          <w:rFonts w:ascii="宋体" w:hAnsi="宋体" w:cs="宋体"/>
          <w:color w:val="000000" w:themeColor="text1"/>
          <w:sz w:val="21"/>
        </w:rPr>
        <w:t xml:space="preserve">采购活动，提供的货物全部由符合政策要求的中小企业制造。相关企业（含联合体中的中小企业、签订分包意向协议的中小企业）的具体情况如下：</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1. </w:t>
      </w:r>
      <w:r>
        <w:rPr>
          <w:rFonts w:ascii="宋体" w:hAnsi="宋体" w:cs="宋体"/>
          <w:color w:val="000000" w:themeColor="text1"/>
          <w:sz w:val="21"/>
          <w:u w:val="single"/>
        </w:rPr>
        <w:t xml:space="preserve">（标的名称）</w:t>
      </w:r>
      <w:r>
        <w:rPr>
          <w:rFonts w:ascii="宋体" w:hAnsi="宋体" w:cs="宋体"/>
          <w:color w:val="000000" w:themeColor="text1"/>
          <w:sz w:val="21"/>
        </w:rPr>
        <w:t xml:space="preserve">，属于</w:t>
      </w:r>
      <w:r>
        <w:rPr>
          <w:rFonts w:ascii="宋体" w:hAnsi="宋体" w:cs="宋体"/>
          <w:color w:val="000000" w:themeColor="text1"/>
          <w:sz w:val="21"/>
          <w:u w:val="single"/>
        </w:rPr>
        <w:t xml:space="preserve">（采购文件中明确的所属行业）</w:t>
      </w:r>
      <w:r>
        <w:rPr>
          <w:rFonts w:ascii="宋体" w:hAnsi="宋体" w:cs="宋体"/>
          <w:color w:val="000000" w:themeColor="text1"/>
          <w:sz w:val="21"/>
        </w:rPr>
        <w:t xml:space="preserve">行业；制造商为</w:t>
      </w:r>
      <w:r>
        <w:rPr>
          <w:rFonts w:ascii="宋体" w:hAnsi="宋体" w:cs="宋体"/>
          <w:color w:val="000000" w:themeColor="text1"/>
          <w:sz w:val="21"/>
          <w:u w:val="single"/>
        </w:rPr>
        <w:t xml:space="preserve">（企业名称）</w:t>
      </w:r>
      <w:r>
        <w:rPr>
          <w:rFonts w:ascii="宋体" w:hAnsi="宋体" w:cs="宋体"/>
          <w:color w:val="000000" w:themeColor="text1"/>
          <w:sz w:val="21"/>
        </w:rPr>
        <w:t xml:space="preserve">，从业人员</w:t>
      </w:r>
      <w:r>
        <w:rPr>
          <w:rFonts w:ascii="宋体" w:hAnsi="宋体" w:cs="宋体"/>
          <w:color w:val="000000" w:themeColor="text1"/>
          <w:sz w:val="21"/>
          <w:u w:val="single"/>
        </w:rPr>
        <w:t xml:space="preserve">      </w:t>
      </w:r>
      <w:r>
        <w:rPr>
          <w:rFonts w:ascii="宋体" w:hAnsi="宋体" w:cs="宋体"/>
          <w:color w:val="000000" w:themeColor="text1"/>
          <w:sz w:val="21"/>
        </w:rPr>
        <w:t xml:space="preserve">人，营业收入为</w:t>
      </w:r>
      <w:r>
        <w:rPr>
          <w:rFonts w:ascii="宋体" w:hAnsi="宋体" w:cs="宋体"/>
          <w:color w:val="000000" w:themeColor="text1"/>
          <w:sz w:val="21"/>
          <w:u w:val="single"/>
        </w:rPr>
        <w:t xml:space="preserve">    </w:t>
      </w:r>
      <w:r>
        <w:rPr>
          <w:rFonts w:ascii="宋体" w:hAnsi="宋体" w:cs="宋体"/>
          <w:color w:val="000000" w:themeColor="text1"/>
          <w:sz w:val="21"/>
        </w:rPr>
        <w:t xml:space="preserve">万元，资产总额为</w:t>
      </w:r>
      <w:r>
        <w:rPr>
          <w:rFonts w:ascii="宋体" w:hAnsi="宋体" w:cs="宋体"/>
          <w:color w:val="000000" w:themeColor="text1"/>
          <w:sz w:val="21"/>
          <w:u w:val="single"/>
        </w:rPr>
        <w:t xml:space="preserve">     </w:t>
      </w:r>
      <w:r>
        <w:rPr>
          <w:rFonts w:ascii="宋体" w:hAnsi="宋体" w:cs="宋体"/>
          <w:color w:val="000000" w:themeColor="text1"/>
          <w:sz w:val="21"/>
        </w:rPr>
        <w:t xml:space="preserve">万元</w:t>
      </w:r>
      <w:r>
        <w:rPr>
          <w:rFonts w:ascii="宋体" w:hAnsi="宋体" w:cs="宋体"/>
          <w:color w:val="000000" w:themeColor="text1"/>
          <w:sz w:val="18"/>
          <w:vertAlign w:val="superscript"/>
        </w:rPr>
        <w:t xml:space="preserve">1</w:t>
      </w:r>
      <w:r>
        <w:rPr>
          <w:rFonts w:ascii="宋体" w:hAnsi="宋体" w:cs="宋体"/>
          <w:color w:val="000000" w:themeColor="text1"/>
          <w:sz w:val="21"/>
        </w:rPr>
        <w:t xml:space="preserve">，属于</w:t>
      </w:r>
      <w:r>
        <w:rPr>
          <w:rFonts w:ascii="宋体" w:hAnsi="宋体" w:cs="宋体"/>
          <w:color w:val="000000" w:themeColor="text1"/>
          <w:sz w:val="21"/>
          <w:u w:val="single"/>
        </w:rPr>
        <w:t xml:space="preserve">（中型企业、小型企业、微型企业）</w:t>
      </w:r>
      <w:r>
        <w:rPr>
          <w:rFonts w:ascii="宋体" w:hAnsi="宋体" w:cs="宋体"/>
          <w:color w:val="000000" w:themeColor="text1"/>
          <w:sz w:val="21"/>
        </w:rPr>
        <w:t xml:space="preserve">；</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2. </w:t>
      </w:r>
      <w:r>
        <w:rPr>
          <w:rFonts w:ascii="宋体" w:hAnsi="宋体" w:cs="宋体"/>
          <w:color w:val="000000" w:themeColor="text1"/>
          <w:sz w:val="21"/>
          <w:u w:val="single"/>
        </w:rPr>
        <w:t xml:space="preserve">（标的名称）</w:t>
      </w:r>
      <w:r>
        <w:rPr>
          <w:rFonts w:ascii="宋体" w:hAnsi="宋体" w:cs="宋体"/>
          <w:color w:val="000000" w:themeColor="text1"/>
          <w:sz w:val="21"/>
        </w:rPr>
        <w:t xml:space="preserve">，属于</w:t>
      </w:r>
      <w:r>
        <w:rPr>
          <w:rFonts w:ascii="宋体" w:hAnsi="宋体" w:cs="宋体"/>
          <w:color w:val="000000" w:themeColor="text1"/>
          <w:sz w:val="21"/>
          <w:u w:val="single"/>
        </w:rPr>
        <w:t xml:space="preserve">（采购文件中明确的所属行业）</w:t>
      </w:r>
      <w:r>
        <w:rPr>
          <w:rFonts w:ascii="宋体" w:hAnsi="宋体" w:cs="宋体"/>
          <w:color w:val="000000" w:themeColor="text1"/>
          <w:sz w:val="21"/>
        </w:rPr>
        <w:t xml:space="preserve">行业；制造商为</w:t>
      </w:r>
      <w:r>
        <w:rPr>
          <w:rFonts w:ascii="宋体" w:hAnsi="宋体" w:cs="宋体"/>
          <w:color w:val="000000" w:themeColor="text1"/>
          <w:sz w:val="21"/>
          <w:u w:val="single"/>
        </w:rPr>
        <w:t xml:space="preserve">（企业名称）</w:t>
      </w:r>
      <w:r>
        <w:rPr>
          <w:rFonts w:ascii="宋体" w:hAnsi="宋体" w:cs="宋体"/>
          <w:color w:val="000000" w:themeColor="text1"/>
          <w:sz w:val="21"/>
        </w:rPr>
        <w:t xml:space="preserve">，从业人员</w:t>
      </w:r>
      <w:r>
        <w:rPr>
          <w:rFonts w:ascii="宋体" w:hAnsi="宋体" w:cs="宋体"/>
          <w:color w:val="000000" w:themeColor="text1"/>
          <w:sz w:val="21"/>
          <w:u w:val="single"/>
        </w:rPr>
        <w:t xml:space="preserve">    </w:t>
      </w:r>
      <w:r>
        <w:rPr>
          <w:rFonts w:ascii="宋体" w:hAnsi="宋体" w:cs="宋体"/>
          <w:color w:val="000000" w:themeColor="text1"/>
          <w:sz w:val="21"/>
        </w:rPr>
        <w:t xml:space="preserve">人，营业收入为</w:t>
      </w:r>
      <w:r>
        <w:rPr>
          <w:rFonts w:ascii="宋体" w:hAnsi="宋体" w:cs="宋体"/>
          <w:color w:val="000000" w:themeColor="text1"/>
          <w:sz w:val="21"/>
          <w:u w:val="single"/>
        </w:rPr>
        <w:t xml:space="preserve">    </w:t>
      </w:r>
      <w:r>
        <w:rPr>
          <w:rFonts w:ascii="宋体" w:hAnsi="宋体" w:cs="宋体"/>
          <w:color w:val="000000" w:themeColor="text1"/>
          <w:sz w:val="21"/>
        </w:rPr>
        <w:t xml:space="preserve">万元，资产总额为</w:t>
      </w:r>
      <w:r>
        <w:rPr>
          <w:rFonts w:ascii="宋体" w:hAnsi="宋体" w:cs="宋体"/>
          <w:color w:val="000000" w:themeColor="text1"/>
          <w:sz w:val="21"/>
          <w:u w:val="single"/>
        </w:rPr>
        <w:t xml:space="preserve">    </w:t>
      </w:r>
      <w:r>
        <w:rPr>
          <w:rFonts w:ascii="宋体" w:hAnsi="宋体" w:cs="宋体"/>
          <w:color w:val="000000" w:themeColor="text1"/>
          <w:sz w:val="21"/>
        </w:rPr>
        <w:t xml:space="preserve">万元，属于</w:t>
      </w:r>
      <w:r>
        <w:rPr>
          <w:rFonts w:ascii="宋体" w:hAnsi="宋体" w:cs="宋体"/>
          <w:color w:val="000000" w:themeColor="text1"/>
          <w:sz w:val="21"/>
          <w:u w:val="single"/>
        </w:rPr>
        <w:t xml:space="preserve">（中型企业、小型企业、微型企业）</w:t>
      </w:r>
      <w:r>
        <w:rPr>
          <w:rFonts w:ascii="宋体" w:hAnsi="宋体" w:cs="宋体"/>
          <w:color w:val="000000" w:themeColor="text1"/>
          <w:sz w:val="21"/>
        </w:rPr>
        <w:t xml:space="preserve">；</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以上企业，不属于大企业的分支机构，不存在控股股东为大企业的情形，也不存在与大企业的负责人为同一人的情形。</w:t>
      </w:r>
      <w:r/>
    </w:p>
    <w:p>
      <w:pPr>
        <w:ind w:firstLine="420"/>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本企业对上述声明内容的真实性负责。如有虚假，将依法承担相应责任</w:t>
      </w:r>
      <w:r/>
    </w:p>
    <w:p>
      <w:pPr>
        <w:ind w:right="420"/>
        <w:jc w:val="right"/>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right="420"/>
        <w:jc w:val="right"/>
        <w:spacing w:after="0" w:line="40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企业名称（加盖CA电子公章）： </w:t>
      </w:r>
      <w:r/>
    </w:p>
    <w:p>
      <w:pPr>
        <w:ind w:right="210" w:firstLine="420"/>
        <w:jc w:val="right"/>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日 期：  年  月  日</w:t>
      </w:r>
      <w:r/>
    </w:p>
    <w:p>
      <w:pPr>
        <w:ind w:firstLine="422"/>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ind w:firstLine="422"/>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注：1、中小企业划分标准详见信部联企业〔2011〕300号中的《中小企业划型标准规定》。</w:t>
      </w:r>
      <w:r/>
    </w:p>
    <w:p>
      <w:pPr>
        <w:ind w:firstLine="422"/>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2、本项目所属行业：工业。</w:t>
      </w:r>
      <w:r/>
    </w:p>
    <w:p>
      <w:pPr>
        <w:ind w:firstLine="422"/>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3、从业人员、营业收入、资产总额填报上一年度数据，无上一年度数据的新成立企业可不填报。</w:t>
      </w:r>
      <w:r/>
    </w:p>
    <w:p>
      <w:pPr>
        <w:ind w:firstLine="422"/>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4、响应单位根据《政府采购促进中小企业发展管理办法》提供的“中小企业声明函”内容不实，属于提供虚假材料谋取中标、成交，依照《中华人民共和国政府采购法》等国家有关规定追究相应责任。</w:t>
      </w:r>
      <w:r/>
    </w:p>
    <w:p>
      <w:pPr>
        <w:spacing w:after="0" w:line="240" w:lineRule="auto"/>
        <w:rPr>
          <w:color w:val="000000" w:themeColor="text1"/>
        </w:rPr>
      </w:pPr>
      <w:r>
        <w:rPr>
          <w:color w:val="000000" w:themeColor="text1"/>
        </w:rPr>
        <w:br w:type="page" w:clear="all"/>
      </w:r>
      <w:r/>
    </w:p>
    <w:p>
      <w:pPr>
        <w:ind w:firstLine="420"/>
        <w:jc w:val="center"/>
        <w:spacing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残疾人福利性单位声明函</w:t>
      </w:r>
      <w:r/>
    </w:p>
    <w:p>
      <w:pPr>
        <w:jc w:val="both"/>
        <w:spacing w:after="120"/>
        <w:rPr>
          <w:color w:val="000000" w:themeColor="text1"/>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1"/>
        </w:rPr>
        <w:t xml:space="preserve"> </w:t>
      </w:r>
      <w:r/>
    </w:p>
    <w:p>
      <w:pPr>
        <w:ind w:firstLine="420"/>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color w:val="000000" w:themeColor="text1"/>
          <w:sz w:val="21"/>
          <w:u w:val="single"/>
        </w:rPr>
        <w:t xml:space="preserve">       </w:t>
      </w:r>
      <w:r>
        <w:rPr>
          <w:rFonts w:ascii="宋体" w:hAnsi="宋体" w:cs="宋体"/>
          <w:color w:val="000000" w:themeColor="text1"/>
          <w:sz w:val="21"/>
        </w:rPr>
        <w:t xml:space="preserve">项目采购活动提供本单位制造的货物（由本单位承担</w:t>
      </w:r>
      <w:r>
        <w:rPr>
          <w:rFonts w:ascii="宋体" w:hAnsi="宋体" w:cs="宋体"/>
          <w:b/>
          <w:color w:val="000000" w:themeColor="text1"/>
          <w:sz w:val="21"/>
        </w:rPr>
        <w:t xml:space="preserve">项目</w:t>
      </w:r>
      <w:r>
        <w:rPr>
          <w:rFonts w:ascii="宋体" w:hAnsi="宋体" w:cs="宋体"/>
          <w:color w:val="000000" w:themeColor="text1"/>
          <w:sz w:val="21"/>
        </w:rPr>
        <w:t xml:space="preserve">/提供服务），或者提供其他残疾人福利性单位制造的货物（不包括使用非残疾人福利性单位注册商标的货物）。</w:t>
      </w:r>
      <w:r/>
    </w:p>
    <w:p>
      <w:pPr>
        <w:ind w:firstLine="420"/>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本单位在本次政府采购活动中提供的残疾人福利单位产品报价合计为人民币（大写）</w:t>
      </w:r>
      <w:r>
        <w:rPr>
          <w:rFonts w:ascii="宋体" w:hAnsi="宋体" w:cs="宋体"/>
          <w:color w:val="000000" w:themeColor="text1"/>
          <w:sz w:val="21"/>
          <w:u w:val="single"/>
        </w:rPr>
        <w:t xml:space="preserve">      </w:t>
      </w:r>
      <w:r>
        <w:rPr>
          <w:rFonts w:ascii="宋体" w:hAnsi="宋体" w:cs="宋体"/>
          <w:color w:val="000000" w:themeColor="text1"/>
          <w:sz w:val="21"/>
        </w:rPr>
        <w:t xml:space="preserve">圆整（￥：     ）。</w:t>
      </w:r>
      <w:r/>
    </w:p>
    <w:p>
      <w:pPr>
        <w:ind w:firstLine="420"/>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本单位对上述声明的真实性负责。如有虚假，将依法承担相应责任。</w:t>
      </w:r>
      <w:r/>
    </w:p>
    <w:p>
      <w:pPr>
        <w:ind w:firstLine="420"/>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（备注：1、供应商如不提供此声明函，价格将不做相应扣除。2、成交供应商为残疾人福利单位的，此声明函将随成交结果同时公告，接受社会监督）</w:t>
      </w:r>
      <w:r/>
    </w:p>
    <w:p>
      <w:pPr>
        <w:ind w:firstLine="444"/>
        <w:jc w:val="both"/>
        <w:spacing w:after="0" w:line="587" w:lineRule="atLeast"/>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21"/>
        </w:rPr>
        <w:t xml:space="preserve"> </w:t>
      </w:r>
      <w:r/>
    </w:p>
    <w:p>
      <w:pPr>
        <w:ind w:right="1560" w:firstLine="444"/>
        <w:jc w:val="center"/>
        <w:spacing w:after="0" w:line="587" w:lineRule="atLeast"/>
        <w:tabs>
          <w:tab w:val="left" w:pos="4860" w:leader="none"/>
        </w:tabs>
        <w:rPr>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21"/>
        </w:rPr>
        <w:t xml:space="preserve">             </w:t>
      </w:r>
      <w:r>
        <w:rPr>
          <w:rFonts w:ascii="宋体" w:hAnsi="宋体" w:cs="宋体"/>
          <w:color w:val="000000" w:themeColor="text1"/>
          <w:sz w:val="21"/>
        </w:rPr>
        <w:t xml:space="preserve">      供应商全称（加盖CA电子公章）：</w:t>
      </w:r>
      <w:r/>
    </w:p>
    <w:p>
      <w:pPr>
        <w:jc w:val="right"/>
        <w:spacing w:after="0" w:line="46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日  期：                  </w:t>
      </w:r>
      <w:r/>
    </w:p>
    <w:p>
      <w:pPr>
        <w:ind w:left="420" w:firstLine="420"/>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eastAsia="Calibri" w:cs="Calibri"/>
          <w:color w:val="000000" w:themeColor="text1"/>
        </w:rPr>
        <w:t xml:space="preserve"> </w:t>
      </w:r>
      <w:r/>
    </w:p>
    <w:p>
      <w:pPr>
        <w:spacing w:after="0" w:line="240" w:lineRule="auto"/>
        <w:rPr>
          <w:rFonts w:ascii="Times New Roman" w:hAnsi="Times New Roman" w:eastAsia="Times New Roman"/>
          <w:color w:val="000000" w:themeColor="text1"/>
          <w:sz w:val="21"/>
        </w:rPr>
      </w:pPr>
      <w:r>
        <w:rPr>
          <w:rFonts w:ascii="Times New Roman" w:hAnsi="Times New Roman" w:eastAsia="Times New Roman"/>
          <w:color w:val="000000" w:themeColor="text1"/>
          <w:sz w:val="21"/>
        </w:rPr>
        <w:br w:type="page" w:clear="all"/>
      </w:r>
      <w:r/>
    </w:p>
    <w:p>
      <w:pPr>
        <w:jc w:val="center"/>
        <w:spacing w:after="0" w:line="11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监狱企业证明材料</w:t>
      </w:r>
      <w:r/>
    </w:p>
    <w:p>
      <w:pPr>
        <w:ind w:firstLine="480"/>
        <w:jc w:val="both"/>
        <w:spacing w:after="0" w:line="8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参加采购活动的监狱企业应当提供省级以上监狱管理局、戒毒管理局（含新疆生产建设兵团）出具的属于监狱企业的证明文件扫描件加盖申请人公章。（加盖CA电子公章）</w:t>
      </w:r>
      <w:r/>
    </w:p>
    <w:p>
      <w:pPr>
        <w:spacing w:after="0" w:line="240" w:lineRule="auto"/>
        <w:rPr>
          <w:rFonts w:hint="eastAsia" w:ascii="宋体" w:hAnsi="宋体" w:cs="宋体"/>
          <w:color w:val="000000" w:themeColor="text1"/>
          <w:sz w:val="24"/>
        </w:rPr>
      </w:pPr>
      <w:r>
        <w:rPr>
          <w:rFonts w:hint="eastAsia" w:ascii="宋体" w:hAnsi="宋体" w:cs="宋体"/>
          <w:color w:val="000000" w:themeColor="text1"/>
          <w:sz w:val="24"/>
        </w:rPr>
        <w:br w:type="page" w:clear="all"/>
      </w:r>
      <w:r/>
    </w:p>
    <w:p>
      <w:pPr>
        <w:pStyle w:val="879"/>
        <w:numPr>
          <w:ilvl w:val="0"/>
          <w:numId w:val="8"/>
        </w:numPr>
        <w:jc w:val="center"/>
        <w:spacing w:after="0"/>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投标承诺书</w:t>
      </w:r>
      <w:r/>
    </w:p>
    <w:p>
      <w:pPr>
        <w:jc w:val="both"/>
        <w:spacing w:after="120"/>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 </w:t>
      </w:r>
      <w:r/>
    </w:p>
    <w:p>
      <w:pPr>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本公司承诺：</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一、本公司未被“信用中国”网站（</w:t>
      </w:r>
      <w:hyperlink r:id="rId32" w:tooltip="http://www.creditchina.gov.cn/" w:history="1">
        <w:r>
          <w:rPr>
            <w:rStyle w:val="862"/>
            <w:rFonts w:ascii="宋体" w:hAnsi="宋体" w:cs="宋体"/>
            <w:color w:val="000000" w:themeColor="text1"/>
            <w:sz w:val="21"/>
          </w:rPr>
          <w:t xml:space="preserve">www.creditchina.gov.cn</w:t>
        </w:r>
      </w:hyperlink>
      <w:r>
        <w:rPr>
          <w:rFonts w:ascii="宋体" w:hAnsi="宋体" w:cs="宋体"/>
          <w:color w:val="000000" w:themeColor="text1"/>
          <w:sz w:val="21"/>
        </w:rPr>
        <w:t xml:space="preserve">）列入失信被执行人、重大税收违法失信主体、政府采购严重违法失信行为记录名单；</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二、不与采购人（采购代理）或其他供应商串通投标；</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三、不向采购人（采购代理）或评标委员会成员行贿，以谋取中标；</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四、本公司对本项目（项目编号：</w:t>
      </w:r>
      <w:r>
        <w:rPr>
          <w:rFonts w:hint="eastAsia" w:ascii="宋体" w:hAnsi="宋体" w:cs="宋体"/>
          <w:color w:val="000000" w:themeColor="text1"/>
          <w:sz w:val="21"/>
        </w:rPr>
        <w:t xml:space="preserve">           </w:t>
      </w:r>
      <w:r>
        <w:rPr>
          <w:rFonts w:ascii="宋体" w:hAnsi="宋体" w:cs="宋体"/>
          <w:color w:val="000000" w:themeColor="text1"/>
          <w:sz w:val="21"/>
        </w:rPr>
        <w:t xml:space="preserve">）所提供的产品不低于采购文件要求的标准；</w:t>
      </w:r>
      <w:r/>
    </w:p>
    <w:p>
      <w:pPr>
        <w:ind w:firstLine="420"/>
        <w:jc w:val="both"/>
        <w:spacing w:after="0" w:line="499" w:lineRule="atLeast"/>
        <w:rPr>
          <w:rFonts w:hint="eastAsia" w:ascii="宋体" w:hAnsi="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五、</w:t>
      </w:r>
      <w:r>
        <w:rPr>
          <w:rFonts w:hint="eastAsia" w:ascii="宋体" w:hAnsi="宋体" w:cs="宋体"/>
          <w:color w:val="000000" w:themeColor="text1"/>
          <w:sz w:val="21"/>
        </w:rPr>
        <w:t xml:space="preserve">具有履行合同所必需的设备和专业技术能力</w:t>
      </w:r>
      <w:r>
        <w:rPr>
          <w:rFonts w:ascii="宋体" w:hAnsi="宋体" w:cs="宋体"/>
          <w:color w:val="000000" w:themeColor="text1"/>
          <w:sz w:val="21"/>
        </w:rPr>
        <w:t xml:space="preserve">；</w:t>
      </w:r>
      <w:r/>
    </w:p>
    <w:p>
      <w:pPr>
        <w:ind w:firstLine="420"/>
        <w:jc w:val="both"/>
        <w:spacing w:after="0" w:line="499" w:lineRule="atLeast"/>
        <w:rPr>
          <w:rFonts w:hint="eastAsia" w:ascii="宋体" w:hAnsi="宋体" w:cs="宋体"/>
          <w:b/>
          <w:bCs/>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1"/>
        </w:rPr>
        <w:t xml:space="preserve">六</w:t>
      </w:r>
      <w:r>
        <w:rPr>
          <w:rFonts w:ascii="宋体" w:hAnsi="宋体" w:cs="宋体"/>
          <w:b/>
          <w:bCs/>
          <w:color w:val="000000" w:themeColor="text1"/>
          <w:sz w:val="21"/>
        </w:rPr>
        <w:t xml:space="preserve">、本公司</w:t>
      </w:r>
      <w:r>
        <w:rPr>
          <w:rFonts w:hint="eastAsia" w:ascii="宋体" w:hAnsi="宋体" w:cs="宋体"/>
          <w:b/>
          <w:bCs/>
          <w:color w:val="000000" w:themeColor="text1"/>
          <w:sz w:val="21"/>
        </w:rPr>
        <w:t xml:space="preserve">承诺所提供的产品符合国家药包材等相关标准，能够在采购人制剂室现有配制设备中正常运行，并在合同签订前接受上机实验。如未能通过上机实验，采购人有权拒签合同。</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rPr>
        <w:t xml:space="preserve">七</w:t>
      </w:r>
      <w:r>
        <w:rPr>
          <w:rFonts w:ascii="宋体" w:hAnsi="宋体" w:cs="宋体"/>
          <w:color w:val="000000" w:themeColor="text1"/>
          <w:sz w:val="21"/>
        </w:rPr>
        <w:t xml:space="preserve">、本公司承诺履约保证金</w:t>
      </w:r>
      <w:r>
        <w:rPr>
          <w:rFonts w:ascii="宋体" w:hAnsi="宋体" w:cs="宋体"/>
          <w:color w:val="000000" w:themeColor="text1"/>
          <w:sz w:val="21"/>
        </w:rPr>
        <w:t xml:space="preserve">在</w:t>
      </w:r>
      <w:r>
        <w:rPr>
          <w:rFonts w:hint="eastAsia" w:ascii="宋体" w:hAnsi="宋体" w:cs="宋体"/>
          <w:color w:val="000000" w:themeColor="text1"/>
          <w:sz w:val="21"/>
        </w:rPr>
        <w:t xml:space="preserve">签订合同前</w:t>
      </w:r>
      <w:r>
        <w:rPr>
          <w:rFonts w:ascii="宋体" w:hAnsi="宋体" w:cs="宋体"/>
          <w:color w:val="000000" w:themeColor="text1"/>
          <w:sz w:val="21"/>
        </w:rPr>
        <w:t xml:space="preserve">一次性足额缴纳给采购人，并按采购人要求及时签订合同。</w:t>
      </w:r>
      <w:r/>
    </w:p>
    <w:p>
      <w:pPr>
        <w:ind w:firstLine="440"/>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eastAsia="Calibri" w:cs="Calibri"/>
          <w:color w:val="000000" w:themeColor="text1"/>
        </w:rPr>
        <w:t xml:space="preserve"> </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本公司一旦违反上述承诺，将无条件接受采购人、主管部门作出的取消成交资格、扣除履约保证金、记入信用档案等处理，并承担法律责任等一切责任。</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供应商：</w:t>
      </w:r>
      <w:r>
        <w:rPr>
          <w:rFonts w:ascii="宋体" w:hAnsi="宋体" w:cs="宋体"/>
          <w:color w:val="000000" w:themeColor="text1"/>
          <w:sz w:val="21"/>
          <w:u w:val="single"/>
        </w:rPr>
        <w:t xml:space="preserve">       </w:t>
      </w:r>
      <w:r>
        <w:rPr>
          <w:rFonts w:ascii="宋体" w:hAnsi="宋体" w:cs="宋体"/>
          <w:color w:val="000000" w:themeColor="text1"/>
          <w:sz w:val="21"/>
        </w:rPr>
        <w:t xml:space="preserve"> （加盖CA电子公章）</w:t>
      </w:r>
      <w:r/>
    </w:p>
    <w:p>
      <w:pPr>
        <w:ind w:firstLine="420"/>
        <w:jc w:val="both"/>
        <w:spacing w:after="0" w:line="49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法定代表人或委托代理人： </w:t>
      </w:r>
      <w:r>
        <w:rPr>
          <w:rFonts w:ascii="宋体" w:hAnsi="宋体" w:cs="宋体"/>
          <w:i/>
          <w:iCs/>
          <w:color w:val="000000" w:themeColor="text1"/>
          <w:sz w:val="21"/>
          <w:u w:val="single"/>
        </w:rPr>
        <w:t xml:space="preserve">         </w:t>
      </w:r>
      <w:r>
        <w:rPr>
          <w:rFonts w:ascii="宋体" w:hAnsi="宋体" w:cs="宋体"/>
          <w:color w:val="000000" w:themeColor="text1"/>
          <w:sz w:val="21"/>
        </w:rPr>
        <w:t xml:space="preserve"> (签字或盖章)</w:t>
      </w:r>
      <w:r/>
    </w:p>
    <w:p>
      <w:pPr>
        <w:ind w:firstLine="420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4200"/>
        <w:jc w:val="both"/>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jc w:val="center"/>
        <w:spacing w:after="143"/>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年   月    日</w:t>
      </w:r>
      <w:r/>
    </w:p>
    <w:p>
      <w:pPr>
        <w:jc w:val="center"/>
        <w:spacing w:after="143"/>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ind w:left="420" w:firstLine="1897"/>
        <w:spacing w:after="120" w:line="253"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rFonts w:hint="eastAsia" w:ascii="宋体" w:hAnsi="宋体" w:cs="宋体"/>
          <w:b/>
          <w:color w:val="000000" w:themeColor="text1"/>
          <w:sz w:val="21"/>
        </w:rPr>
      </w:pPr>
      <w:r>
        <w:rPr>
          <w:rFonts w:hint="eastAsia" w:ascii="宋体" w:hAnsi="宋体" w:cs="宋体"/>
          <w:b/>
          <w:color w:val="000000" w:themeColor="text1"/>
          <w:sz w:val="21"/>
        </w:rPr>
        <w:br w:type="page" w:clear="all"/>
      </w:r>
      <w:r/>
    </w:p>
    <w:p>
      <w:pPr>
        <w:spacing w:after="120" w:line="253" w:lineRule="atLeast"/>
        <w:rPr>
          <w:bCs/>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rPr>
        <w:t xml:space="preserve">13、</w:t>
      </w:r>
      <w:r>
        <w:rPr>
          <w:rFonts w:ascii="宋体" w:hAnsi="宋体" w:cs="宋体"/>
          <w:b/>
          <w:color w:val="000000" w:themeColor="text1"/>
        </w:rPr>
        <w:t xml:space="preserve">所投产品的生产厂家药包材注册证或药包材登记号</w:t>
      </w:r>
      <w:r>
        <w:rPr>
          <w:rFonts w:ascii="宋体" w:hAnsi="宋体" w:cs="宋体"/>
          <w:bCs/>
          <w:color w:val="000000" w:themeColor="text1"/>
        </w:rPr>
        <w:t xml:space="preserve">（产品符合国家相关标准、行业规范等）</w:t>
      </w:r>
      <w:r/>
    </w:p>
    <w:p>
      <w:pPr>
        <w:jc w:val="both"/>
        <w:spacing w:after="0" w:line="239" w:lineRule="atLeast"/>
        <w:rPr>
          <w:b/>
          <w:i/>
          <w:iCs/>
          <w:color w:val="000000" w:themeColor="text1"/>
          <w:u w:val="single"/>
        </w:rPr>
        <w:pBdr>
          <w:top w:val="none" w:color="000000" w:sz="0" w:space="0"/>
          <w:left w:val="none" w:color="000000" w:sz="0" w:space="0"/>
          <w:bottom w:val="none" w:color="000000" w:sz="0" w:space="0"/>
          <w:right w:val="none" w:color="000000" w:sz="0" w:space="0"/>
        </w:pBdr>
      </w:pPr>
      <w:r>
        <w:rPr>
          <w:rFonts w:ascii="宋体" w:hAnsi="宋体" w:cs="宋体"/>
          <w:b/>
          <w:i/>
          <w:iCs/>
          <w:color w:val="000000" w:themeColor="text1"/>
          <w:u w:val="single"/>
        </w:rPr>
        <w:t xml:space="preserve">（1）所投产品采用的标准</w:t>
      </w:r>
      <w:r>
        <w:rPr>
          <w:rFonts w:hint="eastAsia" w:ascii="宋体" w:hAnsi="宋体" w:cs="宋体"/>
          <w:b/>
          <w:i/>
          <w:iCs/>
          <w:color w:val="000000" w:themeColor="text1"/>
          <w:u w:val="single"/>
        </w:rPr>
        <w:t xml:space="preserve">（</w:t>
      </w:r>
      <w:r>
        <w:rPr>
          <w:rFonts w:ascii="宋体" w:hAnsi="宋体" w:cs="宋体"/>
          <w:b/>
          <w:i/>
          <w:iCs/>
          <w:color w:val="000000" w:themeColor="text1"/>
          <w:sz w:val="21"/>
          <w:u w:val="single"/>
        </w:rPr>
        <w:t xml:space="preserve">加盖CA电子公章</w:t>
      </w:r>
      <w:r>
        <w:rPr>
          <w:rFonts w:hint="eastAsia" w:ascii="宋体" w:hAnsi="宋体" w:cs="宋体"/>
          <w:b/>
          <w:i/>
          <w:iCs/>
          <w:color w:val="000000" w:themeColor="text1"/>
          <w:sz w:val="21"/>
          <w:u w:val="single"/>
        </w:rPr>
        <w:t xml:space="preserve">）</w:t>
      </w:r>
      <w:r>
        <w:rPr>
          <w:rFonts w:hint="eastAsia" w:ascii="宋体" w:hAnsi="宋体" w:cs="宋体"/>
          <w:b/>
          <w:i/>
          <w:iCs/>
          <w:color w:val="000000" w:themeColor="text1"/>
          <w:u w:val="single"/>
        </w:rPr>
        <w:t xml:space="preserve">；</w:t>
      </w:r>
      <w:r/>
    </w:p>
    <w:p>
      <w:pPr>
        <w:spacing w:after="120" w:line="253" w:lineRule="atLeast"/>
        <w:rPr>
          <w:b/>
          <w:i/>
          <w:iCs/>
          <w:color w:val="000000" w:themeColor="text1"/>
          <w:u w:val="single"/>
        </w:rPr>
        <w:pBdr>
          <w:top w:val="none" w:color="000000" w:sz="0" w:space="0"/>
          <w:left w:val="none" w:color="000000" w:sz="0" w:space="0"/>
          <w:bottom w:val="none" w:color="000000" w:sz="0" w:space="0"/>
          <w:right w:val="none" w:color="000000" w:sz="0" w:space="0"/>
        </w:pBdr>
      </w:pPr>
      <w:r>
        <w:rPr>
          <w:rFonts w:ascii="宋体" w:hAnsi="宋体" w:cs="宋体"/>
          <w:b/>
          <w:i/>
          <w:iCs/>
          <w:color w:val="000000" w:themeColor="text1"/>
          <w:sz w:val="21"/>
          <w:u w:val="single"/>
        </w:rPr>
        <w:t xml:space="preserve">（2）</w:t>
      </w:r>
      <w:r>
        <w:rPr>
          <w:rFonts w:ascii="宋体" w:hAnsi="宋体" w:cs="宋体"/>
          <w:b/>
          <w:i/>
          <w:iCs/>
          <w:color w:val="000000" w:themeColor="text1"/>
          <w:u w:val="single"/>
        </w:rPr>
        <w:t xml:space="preserve">所投产品的生产厂家在国家药品监督管理局药品审评中心药包材登记数据库查询结果为A的截图</w:t>
      </w:r>
      <w:r>
        <w:rPr>
          <w:rFonts w:hint="eastAsia" w:ascii="宋体" w:hAnsi="宋体" w:cs="宋体"/>
          <w:b/>
          <w:i/>
          <w:iCs/>
          <w:color w:val="000000" w:themeColor="text1"/>
          <w:u w:val="single"/>
        </w:rPr>
        <w:t xml:space="preserve">（</w:t>
      </w:r>
      <w:r>
        <w:rPr>
          <w:rFonts w:ascii="宋体" w:hAnsi="宋体" w:cs="宋体"/>
          <w:b/>
          <w:i/>
          <w:iCs/>
          <w:color w:val="000000" w:themeColor="text1"/>
          <w:u w:val="single"/>
        </w:rPr>
        <w:t xml:space="preserve">加盖</w:t>
      </w:r>
      <w:bookmarkStart w:id="11" w:name="OLE_LINK11"/>
      <w:r>
        <w:rPr>
          <w:rFonts w:ascii="宋体" w:hAnsi="宋体" w:cs="宋体"/>
          <w:b/>
          <w:i/>
          <w:iCs/>
          <w:color w:val="000000" w:themeColor="text1"/>
          <w:u w:val="single"/>
        </w:rPr>
        <w:t xml:space="preserve">CA电子公章</w:t>
      </w:r>
      <w:bookmarkEnd w:id="11"/>
      <w:r>
        <w:rPr>
          <w:rFonts w:hint="eastAsia" w:ascii="宋体" w:hAnsi="宋体" w:cs="宋体"/>
          <w:b/>
          <w:i/>
          <w:iCs/>
          <w:color w:val="000000" w:themeColor="text1"/>
          <w:u w:val="single"/>
        </w:rPr>
        <w:t xml:space="preserve">），截图需清晰可见，能明确显示产品核心信息。</w:t>
      </w:r>
      <w:r/>
    </w:p>
    <w:p>
      <w:pPr>
        <w:spacing w:after="120" w:line="253" w:lineRule="atLeast"/>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rFonts w:hint="eastAsia" w:ascii="宋体" w:hAnsi="宋体" w:cs="宋体"/>
          <w:b/>
          <w:color w:val="000000" w:themeColor="text1"/>
          <w:sz w:val="21"/>
        </w:rPr>
      </w:pPr>
      <w:r>
        <w:rPr>
          <w:rFonts w:hint="eastAsia" w:ascii="宋体" w:hAnsi="宋体" w:cs="宋体"/>
          <w:b/>
          <w:color w:val="000000" w:themeColor="text1"/>
          <w:sz w:val="21"/>
        </w:rPr>
        <w:br w:type="page" w:clear="all"/>
      </w:r>
      <w:r/>
    </w:p>
    <w:p>
      <w:pP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w:t>
      </w:r>
      <w:r>
        <w:rPr>
          <w:rFonts w:hint="eastAsia" w:ascii="宋体" w:hAnsi="宋体" w:cs="宋体"/>
          <w:b/>
          <w:color w:val="000000" w:themeColor="text1"/>
          <w:sz w:val="21"/>
        </w:rPr>
        <w:t xml:space="preserve">4</w:t>
      </w:r>
      <w:r>
        <w:rPr>
          <w:rFonts w:ascii="宋体" w:hAnsi="宋体" w:cs="宋体"/>
          <w:b/>
          <w:color w:val="000000" w:themeColor="text1"/>
          <w:sz w:val="21"/>
        </w:rPr>
        <w:t xml:space="preserve">、</w:t>
      </w:r>
      <w:r>
        <w:rPr>
          <w:rFonts w:ascii="宋体" w:hAnsi="宋体" w:cs="宋体"/>
          <w:b/>
          <w:color w:val="000000" w:themeColor="text1"/>
        </w:rPr>
        <w:t xml:space="preserve">商务及技术条款</w:t>
      </w:r>
      <w:r>
        <w:rPr>
          <w:rFonts w:ascii="宋体" w:hAnsi="宋体" w:cs="宋体"/>
          <w:b/>
          <w:color w:val="000000" w:themeColor="text1"/>
          <w:sz w:val="21"/>
        </w:rPr>
        <w:t xml:space="preserve">偏离表</w:t>
      </w:r>
      <w:r/>
    </w:p>
    <w:tbl>
      <w:tblPr>
        <w:tblStyle w:val="852"/>
        <w:tblW w:w="9702" w:type="dxa"/>
        <w:tblLayout w:type="fixed"/>
        <w:tblLook w:val="04A0" w:firstRow="1" w:lastRow="0" w:firstColumn="1" w:lastColumn="0" w:noHBand="0" w:noVBand="1"/>
      </w:tblPr>
      <w:tblGrid>
        <w:gridCol w:w="1252"/>
        <w:gridCol w:w="1184"/>
        <w:gridCol w:w="2100"/>
        <w:gridCol w:w="2100"/>
        <w:gridCol w:w="1183"/>
        <w:gridCol w:w="1883"/>
      </w:tblGrid>
      <w:tr>
        <w:trPr>
          <w:trHeight w:val="792"/>
        </w:trPr>
        <w:tc>
          <w:tcPr>
            <w:shd w:val="clear" w:color="d9d9d9" w:fill="d9d9d9"/>
            <w:tcMar>
              <w:left w:w="108" w:type="dxa"/>
              <w:top w:w="0" w:type="dxa"/>
              <w:right w:w="108" w:type="dxa"/>
              <w:bottom w:w="0" w:type="dxa"/>
            </w:tcMar>
            <w:tcW w:w="1252"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内  容</w:t>
            </w:r>
            <w:r/>
          </w:p>
        </w:tc>
        <w:tc>
          <w:tcPr>
            <w:shd w:val="clear" w:color="d9d9d9" w:fill="d9d9d9"/>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采购文件</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条目</w:t>
            </w:r>
            <w:r/>
          </w:p>
        </w:tc>
        <w:tc>
          <w:tcPr>
            <w:shd w:val="clear" w:color="d9d9d9" w:fill="d9d9d9"/>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采购文件</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规格要求</w:t>
            </w:r>
            <w:r/>
          </w:p>
        </w:tc>
        <w:tc>
          <w:tcPr>
            <w:shd w:val="clear" w:color="d9d9d9" w:fill="d9d9d9"/>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采购文件</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对应规格</w:t>
            </w:r>
            <w:r/>
          </w:p>
        </w:tc>
        <w:tc>
          <w:tcPr>
            <w:shd w:val="clear" w:color="d9d9d9" w:fill="d9d9d9"/>
            <w:tcMar>
              <w:left w:w="108" w:type="dxa"/>
              <w:top w:w="0" w:type="dxa"/>
              <w:right w:w="108" w:type="dxa"/>
              <w:bottom w:w="0" w:type="dxa"/>
            </w:tcMar>
            <w:tcW w:w="11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有无偏离</w:t>
            </w:r>
            <w:r/>
          </w:p>
        </w:tc>
        <w:tc>
          <w:tcPr>
            <w:shd w:val="clear" w:color="d9d9d9" w:fill="d9d9d9"/>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偏离内容及原因</w:t>
            </w:r>
            <w:r/>
          </w:p>
        </w:tc>
      </w:tr>
      <w:tr>
        <w:trPr>
          <w:trHeight w:val="680"/>
        </w:trPr>
        <w:tc>
          <w:tcPr>
            <w:tcMar>
              <w:left w:w="108" w:type="dxa"/>
              <w:top w:w="0" w:type="dxa"/>
              <w:right w:w="108" w:type="dxa"/>
              <w:bottom w:w="0" w:type="dxa"/>
            </w:tcMar>
            <w:tcW w:w="1252" w:type="dxa"/>
            <w:vAlign w:val="center"/>
            <w:vMerge w:val="restart"/>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商务条款</w:t>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1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1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1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1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1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83"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bl>
    <w:p>
      <w:pPr>
        <w:rPr>
          <w:color w:val="000000" w:themeColor="text1"/>
        </w:rPr>
      </w:pPr>
      <w:r>
        <w:rPr>
          <w:color w:val="000000" w:themeColor="text1"/>
        </w:rPr>
      </w:r>
      <w:r/>
    </w:p>
    <w:tbl>
      <w:tblPr>
        <w:tblStyle w:val="852"/>
        <w:tblW w:w="9702" w:type="dxa"/>
        <w:tblLook w:val="04A0" w:firstRow="1" w:lastRow="0" w:firstColumn="1" w:lastColumn="0" w:noHBand="0" w:noVBand="1"/>
      </w:tblPr>
      <w:tblGrid>
        <w:gridCol w:w="1252"/>
        <w:gridCol w:w="1184"/>
        <w:gridCol w:w="2083"/>
        <w:gridCol w:w="2117"/>
        <w:gridCol w:w="1200"/>
        <w:gridCol w:w="1866"/>
      </w:tblGrid>
      <w:tr>
        <w:trPr>
          <w:trHeight w:val="680"/>
        </w:trPr>
        <w:tc>
          <w:tcPr>
            <w:tcMar>
              <w:left w:w="108" w:type="dxa"/>
              <w:top w:w="0" w:type="dxa"/>
              <w:right w:w="108" w:type="dxa"/>
              <w:bottom w:w="0" w:type="dxa"/>
            </w:tcMar>
            <w:tcW w:w="1252" w:type="dxa"/>
            <w:vAlign w:val="center"/>
            <w:vMerge w:val="restart"/>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技术规格</w:t>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r>
        <w:trPr>
          <w:trHeight w:val="680"/>
        </w:trPr>
        <w:tc>
          <w:tcPr>
            <w:tcW w:w="1252" w:type="dxa"/>
            <w:vMerge w:val="continue"/>
            <w:textDirection w:val="lrTb"/>
            <w:noWrap w:val="false"/>
          </w:tcPr>
          <w:p>
            <w:pPr>
              <w:rPr>
                <w:color w:val="000000" w:themeColor="text1"/>
              </w:rPr>
            </w:pPr>
            <w:r>
              <w:rPr>
                <w:color w:val="000000" w:themeColor="text1"/>
              </w:rPr>
            </w:r>
            <w:r/>
          </w:p>
        </w:tc>
        <w:tc>
          <w:tcPr>
            <w:tcMar>
              <w:left w:w="108" w:type="dxa"/>
              <w:top w:w="0" w:type="dxa"/>
              <w:right w:w="108" w:type="dxa"/>
              <w:bottom w:w="0" w:type="dxa"/>
            </w:tcMar>
            <w:tcW w:w="1184"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08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211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200"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 </w:t>
            </w:r>
            <w:r/>
          </w:p>
        </w:tc>
        <w:tc>
          <w:tcPr>
            <w:tcMar>
              <w:left w:w="108" w:type="dxa"/>
              <w:top w:w="0" w:type="dxa"/>
              <w:right w:w="108" w:type="dxa"/>
              <w:bottom w:w="0" w:type="dxa"/>
            </w:tcMar>
            <w:tcW w:w="1866" w:type="dxa"/>
            <w:vAlign w:val="center"/>
            <w:textDirection w:val="lrTb"/>
            <w:noWrap w:val="false"/>
          </w:tcPr>
          <w:p>
            <w:pPr>
              <w:jc w:val="center"/>
              <w:spacing w:after="0"/>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tc>
      </w:tr>
    </w:tbl>
    <w:p>
      <w:pPr>
        <w:ind w:firstLine="442"/>
        <w:jc w:val="both"/>
        <w:spacing w:after="0" w:line="85" w:lineRule="atLeast"/>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r>
      <w:r/>
    </w:p>
    <w:p>
      <w:pPr>
        <w:ind w:firstLine="442"/>
        <w:jc w:val="both"/>
        <w:spacing w:after="0" w:line="85" w:lineRule="atLeast"/>
        <w:rPr>
          <w:rFonts w:hint="eastAsia" w:ascii="宋体" w:hAnsi="宋体" w:cs="宋体"/>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注：</w:t>
      </w:r>
      <w:r>
        <w:rPr>
          <w:rFonts w:hint="eastAsia" w:ascii="宋体" w:hAnsi="宋体" w:cs="宋体"/>
          <w:color w:val="000000" w:themeColor="text1"/>
        </w:rPr>
        <w:t xml:space="preserve">若无偏离，在“有无偏离”栏中填写“无”；若有偏离在“有无偏离”栏中填写“有”并在“偏离内容及原因”栏中作出说明。未注明或未填写任何内容的，视为全部响应。</w:t>
      </w:r>
      <w:r/>
    </w:p>
    <w:p>
      <w:pPr>
        <w:ind w:left="420" w:firstLine="5"/>
        <w:spacing w:after="120" w:line="253"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r>
      <w:r/>
    </w:p>
    <w:p>
      <w:pPr>
        <w:ind w:left="420" w:firstLine="5"/>
        <w:spacing w:after="120" w:line="253"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r>
      <w:r/>
    </w:p>
    <w:p>
      <w:pPr>
        <w:ind w:left="420" w:firstLine="5"/>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供应商：                 （加盖CA电子公章）</w:t>
      </w:r>
      <w:r/>
    </w:p>
    <w:p>
      <w:pPr>
        <w:ind w:left="420" w:firstLine="5"/>
        <w:spacing w:after="120" w:line="253"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r>
      <w:r/>
    </w:p>
    <w:p>
      <w:pPr>
        <w:ind w:left="420" w:firstLine="5"/>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法定代表人或委托代理人：        </w:t>
      </w:r>
      <w:r>
        <w:rPr>
          <w:rFonts w:hint="eastAsia" w:ascii="宋体" w:hAnsi="宋体" w:cs="宋体"/>
          <w:color w:val="000000" w:themeColor="text1"/>
          <w:sz w:val="24"/>
        </w:rPr>
        <w:t xml:space="preserve"> </w:t>
      </w:r>
      <w:r>
        <w:rPr>
          <w:rFonts w:ascii="宋体" w:hAnsi="宋体" w:cs="宋体"/>
          <w:color w:val="000000" w:themeColor="text1"/>
          <w:sz w:val="24"/>
        </w:rPr>
        <w:t xml:space="preserve">   (签字或盖章)</w:t>
      </w:r>
      <w:r/>
    </w:p>
    <w:p>
      <w:pP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0" w:line="240" w:lineRule="auto"/>
        <w:rPr>
          <w:color w:val="000000" w:themeColor="text1"/>
        </w:rPr>
      </w:pPr>
      <w:r>
        <w:rPr>
          <w:color w:val="000000" w:themeColor="text1"/>
        </w:rPr>
        <w:br w:type="page" w:clear="all"/>
      </w:r>
      <w:r/>
    </w:p>
    <w:p>
      <w:pP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p>
    <w:p>
      <w:pP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w:t>
      </w:r>
      <w:r>
        <w:rPr>
          <w:rFonts w:hint="eastAsia" w:ascii="宋体" w:hAnsi="宋体" w:cs="宋体"/>
          <w:b/>
          <w:color w:val="000000" w:themeColor="text1"/>
          <w:sz w:val="21"/>
        </w:rPr>
        <w:t xml:space="preserve">5</w:t>
      </w:r>
      <w:r>
        <w:rPr>
          <w:rFonts w:ascii="宋体" w:hAnsi="宋体" w:cs="宋体"/>
          <w:b/>
          <w:color w:val="000000" w:themeColor="text1"/>
          <w:sz w:val="21"/>
        </w:rPr>
        <w:t xml:space="preserve">、评标办法中加分项证明材料（含供货方案、售后服务</w:t>
      </w:r>
      <w:r>
        <w:rPr>
          <w:rFonts w:hint="eastAsia" w:ascii="宋体" w:hAnsi="宋体" w:cs="宋体"/>
          <w:b/>
          <w:color w:val="000000" w:themeColor="text1"/>
          <w:sz w:val="21"/>
        </w:rPr>
        <w:t xml:space="preserve">、质量保证措施</w:t>
      </w:r>
      <w:r>
        <w:rPr>
          <w:rFonts w:ascii="宋体" w:hAnsi="宋体" w:cs="宋体"/>
          <w:b/>
          <w:color w:val="000000" w:themeColor="text1"/>
          <w:sz w:val="21"/>
        </w:rPr>
        <w:t xml:space="preserve">等）</w:t>
      </w:r>
      <w:r/>
    </w:p>
    <w:p>
      <w:pPr>
        <w:ind w:left="420" w:firstLine="1897"/>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spacing w:after="120" w:line="253"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w:t>
      </w:r>
      <w:r>
        <w:rPr>
          <w:rFonts w:hint="eastAsia" w:ascii="宋体" w:hAnsi="宋体" w:cs="宋体"/>
          <w:b/>
          <w:color w:val="000000" w:themeColor="text1"/>
          <w:sz w:val="21"/>
        </w:rPr>
        <w:t xml:space="preserve">6</w:t>
      </w:r>
      <w:r>
        <w:rPr>
          <w:rFonts w:ascii="宋体" w:hAnsi="宋体" w:cs="宋体"/>
          <w:b/>
          <w:color w:val="000000" w:themeColor="text1"/>
          <w:sz w:val="21"/>
        </w:rPr>
        <w:t xml:space="preserve">、供应商认为需提交的其他证明材料（如有）</w:t>
      </w:r>
      <w:r/>
    </w:p>
    <w:p>
      <w:pPr>
        <w:jc w:val="center"/>
        <w:spacing w:after="143"/>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 </w:t>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rFonts w:hint="eastAsia" w:ascii="宋体" w:hAnsi="宋体" w:cs="宋体"/>
          <w:b/>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rPr>
      </w:r>
      <w:r/>
    </w:p>
    <w:p>
      <w:pPr>
        <w:jc w:val="center"/>
        <w:spacing w:after="143"/>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评审要素索引表</w:t>
      </w:r>
      <w:r/>
    </w:p>
    <w:tbl>
      <w:tblPr>
        <w:tblStyle w:val="852"/>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28"/>
        <w:gridCol w:w="6067"/>
        <w:gridCol w:w="1633"/>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响应文件</w:t>
            </w:r>
            <w:r/>
          </w:p>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页码范围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firstLine="2741"/>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商务</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firstLine="2741"/>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jc w:val="cente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spacing w:after="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P</w:t>
            </w:r>
            <w:r>
              <w:rPr>
                <w:rFonts w:ascii="宋体" w:hAnsi="宋体" w:cs="宋体"/>
                <w:color w:val="000000" w:themeColor="text1"/>
                <w:sz w:val="21"/>
                <w:u w:val="single"/>
              </w:rPr>
              <w:t xml:space="preserve">   </w:t>
            </w:r>
            <w:r>
              <w:rPr>
                <w:rFonts w:ascii="宋体" w:hAnsi="宋体" w:cs="宋体"/>
                <w:color w:val="000000" w:themeColor="text1"/>
                <w:sz w:val="21"/>
              </w:rPr>
              <w:t xml:space="preserve">～P</w:t>
            </w:r>
            <w:r>
              <w:rPr>
                <w:rFonts w:ascii="宋体" w:hAnsi="宋体" w:cs="宋体"/>
                <w:color w:val="000000" w:themeColor="text1"/>
                <w:sz w:val="21"/>
                <w:u w:val="single"/>
              </w:rPr>
              <w:t xml:space="preserve">   </w:t>
            </w:r>
            <w:r/>
          </w:p>
        </w:tc>
      </w:tr>
    </w:tbl>
    <w:p>
      <w:pPr>
        <w:ind w:firstLine="420"/>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 </w:t>
      </w:r>
      <w:r/>
    </w:p>
    <w:p>
      <w:pPr>
        <w:ind w:firstLine="210"/>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注：1.供应商应对提交的响应文件逐页标注页码。</w:t>
      </w:r>
      <w:r/>
    </w:p>
    <w:p>
      <w:pPr>
        <w:ind w:firstLine="630"/>
        <w:jc w:val="both"/>
        <w:spacing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rPr>
        <w:t xml:space="preserve">2.供应商应按上表的格式，对照磋商文件中评审办法的评审内容，建立起响应文件相关评审内容与页码之间的索引。</w:t>
      </w:r>
      <w:r/>
    </w:p>
    <w:p>
      <w:pPr>
        <w:rPr>
          <w:color w:val="000000" w:themeColor="text1"/>
        </w:rPr>
      </w:pPr>
      <w:r>
        <w:rPr>
          <w:color w:val="000000" w:themeColor="text1"/>
        </w:rPr>
      </w:r>
      <w:r/>
    </w:p>
    <w:p>
      <w:pPr>
        <w:pStyle w:val="824"/>
        <w:rPr>
          <w:color w:val="000000" w:themeColor="text1"/>
        </w:rPr>
      </w:pPr>
      <w:r>
        <w:rPr>
          <w:color w:val="000000" w:themeColor="text1"/>
        </w:rPr>
      </w:r>
      <w:r/>
    </w:p>
    <w:p>
      <w:pPr>
        <w:rPr>
          <w:color w:val="000000" w:themeColor="text1"/>
        </w:rPr>
      </w:pPr>
      <w:r>
        <w:rPr>
          <w:color w:val="000000" w:themeColor="text1"/>
        </w:rPr>
      </w:r>
      <w:r/>
    </w:p>
    <w:p>
      <w:pPr>
        <w:pStyle w:val="824"/>
        <w:rPr>
          <w:color w:val="000000" w:themeColor="text1"/>
        </w:rPr>
      </w:pPr>
      <w:r>
        <w:rPr>
          <w:color w:val="000000" w:themeColor="text1"/>
        </w:rPr>
      </w:r>
      <w:r/>
    </w:p>
    <w:p>
      <w:pPr>
        <w:rPr>
          <w:color w:val="000000" w:themeColor="text1"/>
        </w:rPr>
      </w:pPr>
      <w:r>
        <w:rPr>
          <w:color w:val="000000" w:themeColor="text1"/>
        </w:rPr>
      </w:r>
      <w:r/>
    </w:p>
    <w:p>
      <w:pPr>
        <w:pStyle w:val="824"/>
        <w:rPr>
          <w:color w:val="000000" w:themeColor="text1"/>
        </w:rPr>
      </w:pPr>
      <w:r>
        <w:rPr>
          <w:color w:val="000000" w:themeColor="text1"/>
        </w:rPr>
      </w:r>
      <w:r/>
    </w:p>
    <w:p>
      <w:pPr>
        <w:rPr>
          <w:color w:val="000000" w:themeColor="text1"/>
        </w:rPr>
      </w:pPr>
      <w:r>
        <w:rPr>
          <w:color w:val="000000" w:themeColor="text1"/>
        </w:rPr>
      </w:r>
      <w:r/>
    </w:p>
    <w:p>
      <w:pPr>
        <w:pStyle w:val="824"/>
        <w:rPr>
          <w:color w:val="000000" w:themeColor="text1"/>
        </w:rPr>
      </w:pPr>
      <w:r>
        <w:rPr>
          <w:color w:val="000000" w:themeColor="text1"/>
        </w:rPr>
      </w:r>
      <w:r/>
    </w:p>
    <w:p>
      <w:pPr>
        <w:rPr>
          <w:color w:val="000000" w:themeColor="text1"/>
        </w:rPr>
      </w:pPr>
      <w:r>
        <w:rPr>
          <w:color w:val="000000" w:themeColor="text1"/>
        </w:rPr>
      </w:r>
      <w:r/>
    </w:p>
    <w:p>
      <w:pPr>
        <w:jc w:val="center"/>
        <w:spacing w:line="560" w:lineRule="exact"/>
        <w:rPr>
          <w:rFonts w:hint="eastAsia" w:ascii="宋体" w:hAnsi="宋体" w:cs="宋体"/>
          <w:b/>
          <w:bCs/>
          <w:color w:val="000000" w:themeColor="text1"/>
          <w:sz w:val="24"/>
        </w:rPr>
      </w:pPr>
      <w:r>
        <w:rPr>
          <w:rFonts w:hint="eastAsia" w:ascii="宋体" w:hAnsi="宋体" w:cs="宋体"/>
          <w:b/>
          <w:bCs/>
          <w:color w:val="000000" w:themeColor="text1"/>
          <w:sz w:val="32"/>
          <w:szCs w:val="32"/>
        </w:rPr>
        <w:t xml:space="preserve">质疑函范本</w:t>
      </w:r>
      <w:r/>
    </w:p>
    <w:p>
      <w:pPr>
        <w:spacing w:before="287" w:line="24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一、质疑供应商基本信息</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质疑供应商：</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地址：邮编：</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联系人：联系电话：</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授权代表：</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联系电话：</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地址：邮编：</w:t>
      </w:r>
      <w:r/>
    </w:p>
    <w:p>
      <w:pPr>
        <w:spacing w:line="24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二、质疑项目基本情况</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质疑项目的名称：</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质疑项目的编号：              包号：</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采购人名称：</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采购文件获取日期：</w:t>
      </w:r>
      <w:r/>
    </w:p>
    <w:p>
      <w:pPr>
        <w:spacing w:line="24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三、质疑事项具体内容</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质疑事项1：</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事实依据：</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法律依据：</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u w:val="single"/>
        </w:rPr>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质疑事项2</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p>
    <w:p>
      <w:pPr>
        <w:spacing w:line="24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四、与质疑事项相关的质疑请求</w:t>
      </w:r>
      <w:r/>
    </w:p>
    <w:p>
      <w:pPr>
        <w:spacing w:line="24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请求：</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签字（签章）：                   公章：                      </w:t>
      </w:r>
      <w:r/>
    </w:p>
    <w:p>
      <w:pPr>
        <w:spacing w:line="240" w:lineRule="auto"/>
        <w:rPr>
          <w:rFonts w:hint="eastAsia" w:ascii="宋体" w:hAnsi="宋体" w:cs="宋体"/>
          <w:color w:val="000000" w:themeColor="text1"/>
          <w:sz w:val="24"/>
        </w:rPr>
      </w:pPr>
      <w:r>
        <w:rPr>
          <w:rFonts w:hint="eastAsia" w:ascii="宋体" w:hAnsi="宋体" w:cs="宋体"/>
          <w:color w:val="000000" w:themeColor="text1"/>
          <w:sz w:val="24"/>
        </w:rPr>
        <w:t xml:space="preserve">日期：    </w:t>
      </w:r>
      <w:r/>
    </w:p>
    <w:p>
      <w:pPr>
        <w:pStyle w:val="1075"/>
        <w:rPr>
          <w:rFonts w:hint="eastAsia" w:ascii="宋体" w:hAnsi="宋体" w:cs="宋体"/>
          <w:color w:val="000000" w:themeColor="text1"/>
          <w:sz w:val="24"/>
        </w:rPr>
      </w:pPr>
      <w:r>
        <w:rPr>
          <w:rFonts w:hint="eastAsia" w:ascii="宋体" w:hAnsi="宋体" w:cs="宋体"/>
          <w:color w:val="000000" w:themeColor="text1"/>
          <w:sz w:val="24"/>
        </w:rPr>
      </w:r>
      <w:r/>
    </w:p>
    <w:p>
      <w:pPr>
        <w:pStyle w:val="1075"/>
        <w:rPr>
          <w:rFonts w:hint="eastAsia" w:ascii="宋体" w:hAnsi="宋体" w:cs="宋体"/>
          <w:color w:val="000000" w:themeColor="text1"/>
          <w:sz w:val="24"/>
        </w:rPr>
      </w:pPr>
      <w:r>
        <w:rPr>
          <w:rFonts w:hint="eastAsia" w:ascii="宋体" w:hAnsi="宋体" w:cs="宋体"/>
          <w:color w:val="000000" w:themeColor="text1"/>
          <w:sz w:val="24"/>
        </w:rPr>
      </w:r>
      <w:r/>
    </w:p>
    <w:p>
      <w:pPr>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质疑函制作说明：</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1.供应商提出质疑时，应提交质疑函和必要的证明材料。</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3.质疑供应商对项目的某一分包进行质疑，质疑函中应列明具体分包号。</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4.质疑函的质疑事项应具体、明确，并有必要的事实依据和法律依据。</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5.质疑函的质疑请求应与质疑事项相关。</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6.质疑供应商为自然人的，质疑函应由本人签字；质疑供应商为法人或者其他组织的，质疑函应由法定代表人、主要负责人，或者其授权代表签字或者盖章，并加盖公章。</w:t>
      </w:r>
      <w:r/>
    </w:p>
    <w:p>
      <w:pPr>
        <w:ind w:firstLine="598"/>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7.按该表格填写，一式两份，并将该函和相关证据盖公章在规定的时间内分别送达采购人和采购代理机构。</w:t>
      </w:r>
      <w:r/>
    </w:p>
    <w:p>
      <w:pPr>
        <w:pStyle w:val="851"/>
        <w:ind w:firstLine="240"/>
        <w:rPr>
          <w:rFonts w:hint="eastAsia" w:ascii="宋体" w:hAnsi="宋体" w:cs="宋体"/>
          <w:color w:val="000000" w:themeColor="text1"/>
          <w:sz w:val="24"/>
        </w:rPr>
      </w:pPr>
      <w:r>
        <w:rPr>
          <w:rFonts w:hint="eastAsia" w:ascii="宋体" w:hAnsi="宋体" w:cs="宋体"/>
          <w:color w:val="000000" w:themeColor="text1"/>
          <w:sz w:val="24"/>
        </w:rPr>
      </w:r>
      <w:r/>
    </w:p>
    <w:p>
      <w:pPr>
        <w:pStyle w:val="851"/>
        <w:ind w:firstLine="240"/>
        <w:rPr>
          <w:rFonts w:hint="eastAsia" w:ascii="宋体" w:hAnsi="宋体" w:cs="宋体"/>
          <w:color w:val="000000" w:themeColor="text1"/>
          <w:sz w:val="24"/>
        </w:rPr>
      </w:pPr>
      <w:r>
        <w:rPr>
          <w:rFonts w:hint="eastAsia" w:ascii="宋体" w:hAnsi="宋体" w:cs="宋体"/>
          <w:color w:val="000000" w:themeColor="text1"/>
          <w:sz w:val="24"/>
        </w:rPr>
      </w:r>
      <w:r/>
    </w:p>
    <w:p>
      <w:pPr>
        <w:pStyle w:val="851"/>
        <w:ind w:firstLine="240"/>
        <w:rPr>
          <w:rFonts w:hint="eastAsia" w:ascii="宋体" w:hAnsi="宋体" w:cs="宋体"/>
          <w:color w:val="000000" w:themeColor="text1"/>
          <w:sz w:val="24"/>
        </w:rPr>
      </w:pPr>
      <w:r>
        <w:rPr>
          <w:rFonts w:hint="eastAsia" w:ascii="宋体" w:hAnsi="宋体" w:cs="宋体"/>
          <w:color w:val="000000" w:themeColor="text1"/>
          <w:sz w:val="24"/>
        </w:rPr>
      </w:r>
      <w:r/>
    </w:p>
    <w:p>
      <w:pPr>
        <w:pStyle w:val="851"/>
        <w:ind w:firstLine="240"/>
        <w:rPr>
          <w:rFonts w:hint="eastAsia" w:ascii="宋体" w:hAnsi="宋体" w:cs="宋体"/>
          <w:color w:val="000000" w:themeColor="text1"/>
          <w:sz w:val="24"/>
        </w:rPr>
      </w:pPr>
      <w:r>
        <w:rPr>
          <w:rFonts w:hint="eastAsia" w:ascii="宋体" w:hAnsi="宋体" w:cs="宋体"/>
          <w:color w:val="000000" w:themeColor="text1"/>
          <w:sz w:val="24"/>
        </w:rPr>
      </w:r>
      <w:r/>
    </w:p>
    <w:p>
      <w:pPr>
        <w:pStyle w:val="824"/>
        <w:rPr>
          <w:color w:val="000000" w:themeColor="text1"/>
        </w:rPr>
      </w:pPr>
      <w:r>
        <w:rPr>
          <w:color w:val="000000" w:themeColor="text1"/>
        </w:rPr>
      </w:r>
      <w:r/>
    </w:p>
    <w:sectPr>
      <w:footnotePr/>
      <w:endnotePr/>
      <w:type w:val="nextPage"/>
      <w:pgSz w:w="11906" w:h="16838" w:orient="portrait"/>
      <w:pgMar w:top="1015" w:right="1196" w:bottom="868" w:left="1259" w:header="851" w:footer="22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mbria">
    <w:panose1 w:val="02040503050406030204"/>
  </w:font>
  <w:font w:name="Courier New">
    <w:panose1 w:val="020703090202050204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fldChar w:fldCharType="begin"/>
    </w:r>
    <w:r>
      <w:instrText xml:space="preserve">PAGE   \* MERGEFORMAT</w:instrText>
    </w:r>
    <w:r>
      <w:fldChar w:fldCharType="separate"/>
    </w:r>
    <w:r>
      <w:rPr>
        <w:lang w:val="zh-CN"/>
      </w:rPr>
      <w:t xml:space="preserve">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2942590</wp:posOffset>
              </wp:positionH>
              <wp:positionV relativeFrom="paragraph">
                <wp:posOffset>0</wp:posOffset>
              </wp:positionV>
              <wp:extent cx="198120" cy="1828800"/>
              <wp:effectExtent l="0" t="0" r="12065" b="1270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97985" cy="1828800"/>
                      </a:xfrm>
                      <a:prstGeom prst="rect">
                        <a:avLst/>
                      </a:prstGeom>
                      <a:noFill/>
                      <a:ln>
                        <a:noFill/>
                      </a:ln>
                    </wps:spPr>
                    <wps:txbx>
                      <w:txbxContent>
                        <w:p>
                          <w:r/>
                          <w:r/>
                        </w:p>
                      </w:txbxContent>
                    </wps:txbx>
                    <wps:bodyPr wrap="square" lIns="0" tIns="0" rIns="0" bIns="0" upright="1">
                      <a:spAutoFit/>
                    </wps:bodyPr>
                  </wps:wsp>
                </a:graphicData>
              </a:graphic>
            </wp:anchor>
          </w:drawing>
        </mc:Choice>
        <mc:Fallback>
          <w:pict>
            <v:shape id="shape 1" o:spid="_x0000_s1" o:spt="202" type="#_x0000_t202" style="position:absolute;z-index:251656704;o:allowoverlap:true;o:allowincell:true;mso-position-horizontal-relative:margin;margin-left:231.7pt;mso-position-horizontal:absolute;mso-position-vertical-relative:text;margin-top:0.0pt;mso-position-vertical:absolute;width:15.6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8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ind w:left="21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40" w:hanging="440"/>
      </w:pPr>
      <w:rPr>
        <w:rFonts w:hint="default" w:cs="宋体"/>
        <w:b/>
        <w:color w:val="000000"/>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japaneseCounting"/>
      <w:isLgl w:val="false"/>
      <w:suff w:val="tab"/>
      <w:lvlText w:val="第%1章"/>
      <w:lvlJc w:val="left"/>
      <w:pPr>
        <w:ind w:left="740" w:hanging="7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082"/>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6">
    <w:multiLevelType w:val="hybridMultilevel"/>
    <w:lvl w:ilvl="0">
      <w:start w:val="1"/>
      <w:numFmt w:val="upperLetter"/>
      <w:pStyle w:val="10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076"/>
      <w:isLgl w:val="false"/>
      <w:suff w:val="tab"/>
      <w:lvlText w:val="第%1章"/>
      <w:lvlJc w:val="left"/>
      <w:pPr>
        <w:ind w:left="9351" w:hanging="420"/>
      </w:pPr>
      <w:rPr>
        <w:rFonts w:hint="eastAsia" w:ascii="黑体" w:eastAsia="黑体"/>
        <w:b w:val="0"/>
        <w:sz w:val="36"/>
        <w:lang w:val="en-US"/>
      </w:rPr>
    </w:lvl>
    <w:lvl w:ilvl="1">
      <w:start w:val="1"/>
      <w:numFmt w:val="decimal"/>
      <w:pStyle w:val="107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7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7"/>
  </w:num>
  <w:num w:numId="2">
    <w:abstractNumId w:val="6"/>
  </w:num>
  <w:num w:numId="3">
    <w:abstractNumId w:val="5"/>
  </w:num>
  <w:num w:numId="4">
    <w:abstractNumId w:val="3"/>
  </w:num>
  <w:num w:numId="5">
    <w:abstractNumId w:val="2"/>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3 Char"/>
    <w:basedOn w:val="813"/>
    <w:link w:val="806"/>
    <w:uiPriority w:val="9"/>
    <w:rPr>
      <w:rFonts w:ascii="Arial" w:hAnsi="Arial" w:eastAsia="Arial" w:cs="Arial"/>
      <w:sz w:val="30"/>
      <w:szCs w:val="30"/>
    </w:rPr>
  </w:style>
  <w:style w:type="character" w:styleId="771">
    <w:name w:val="Heading 4 Char"/>
    <w:basedOn w:val="813"/>
    <w:link w:val="807"/>
    <w:uiPriority w:val="9"/>
    <w:rPr>
      <w:rFonts w:ascii="Arial" w:hAnsi="Arial" w:eastAsia="Arial" w:cs="Arial"/>
      <w:b/>
      <w:bCs/>
      <w:sz w:val="26"/>
      <w:szCs w:val="26"/>
    </w:rPr>
  </w:style>
  <w:style w:type="character" w:styleId="772">
    <w:name w:val="Heading 5 Char"/>
    <w:basedOn w:val="813"/>
    <w:link w:val="808"/>
    <w:uiPriority w:val="9"/>
    <w:rPr>
      <w:rFonts w:ascii="Arial" w:hAnsi="Arial" w:eastAsia="Arial" w:cs="Arial"/>
      <w:b/>
      <w:bCs/>
      <w:sz w:val="24"/>
      <w:szCs w:val="24"/>
    </w:rPr>
  </w:style>
  <w:style w:type="character" w:styleId="773">
    <w:name w:val="Heading 6 Char"/>
    <w:basedOn w:val="813"/>
    <w:link w:val="809"/>
    <w:uiPriority w:val="9"/>
    <w:rPr>
      <w:rFonts w:ascii="Arial" w:hAnsi="Arial" w:eastAsia="Arial" w:cs="Arial"/>
      <w:b/>
      <w:bCs/>
      <w:sz w:val="22"/>
      <w:szCs w:val="22"/>
    </w:rPr>
  </w:style>
  <w:style w:type="character" w:styleId="774">
    <w:name w:val="Heading 7 Char"/>
    <w:basedOn w:val="813"/>
    <w:link w:val="810"/>
    <w:uiPriority w:val="9"/>
    <w:rPr>
      <w:rFonts w:ascii="Arial" w:hAnsi="Arial" w:eastAsia="Arial" w:cs="Arial"/>
      <w:b/>
      <w:bCs/>
      <w:i/>
      <w:iCs/>
      <w:sz w:val="22"/>
      <w:szCs w:val="22"/>
    </w:rPr>
  </w:style>
  <w:style w:type="character" w:styleId="775">
    <w:name w:val="Heading 8 Char"/>
    <w:basedOn w:val="813"/>
    <w:link w:val="811"/>
    <w:uiPriority w:val="9"/>
    <w:rPr>
      <w:rFonts w:ascii="Arial" w:hAnsi="Arial" w:eastAsia="Arial" w:cs="Arial"/>
      <w:i/>
      <w:iCs/>
      <w:sz w:val="22"/>
      <w:szCs w:val="22"/>
    </w:rPr>
  </w:style>
  <w:style w:type="character" w:styleId="776">
    <w:name w:val="Heading 9 Char"/>
    <w:basedOn w:val="813"/>
    <w:link w:val="812"/>
    <w:uiPriority w:val="9"/>
    <w:rPr>
      <w:rFonts w:ascii="Arial" w:hAnsi="Arial" w:eastAsia="Arial" w:cs="Arial"/>
      <w:i/>
      <w:iCs/>
      <w:sz w:val="21"/>
      <w:szCs w:val="21"/>
    </w:rPr>
  </w:style>
  <w:style w:type="character" w:styleId="777">
    <w:name w:val="Title Char"/>
    <w:basedOn w:val="813"/>
    <w:link w:val="849"/>
    <w:uiPriority w:val="10"/>
    <w:rPr>
      <w:sz w:val="48"/>
      <w:szCs w:val="48"/>
    </w:rPr>
  </w:style>
  <w:style w:type="character" w:styleId="778">
    <w:name w:val="Subtitle Char"/>
    <w:basedOn w:val="813"/>
    <w:link w:val="840"/>
    <w:uiPriority w:val="11"/>
    <w:rPr>
      <w:sz w:val="24"/>
      <w:szCs w:val="24"/>
    </w:rPr>
  </w:style>
  <w:style w:type="character" w:styleId="779">
    <w:name w:val="Quote Char"/>
    <w:link w:val="883"/>
    <w:uiPriority w:val="29"/>
    <w:rPr>
      <w:i/>
    </w:rPr>
  </w:style>
  <w:style w:type="character" w:styleId="780">
    <w:name w:val="Intense Quote Char"/>
    <w:link w:val="885"/>
    <w:uiPriority w:val="30"/>
    <w:rPr>
      <w:i/>
    </w:rPr>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41"/>
    <w:uiPriority w:val="99"/>
    <w:rPr>
      <w:sz w:val="18"/>
    </w:rPr>
  </w:style>
  <w:style w:type="character" w:styleId="801">
    <w:name w:val="Endnote Text Char"/>
    <w:link w:val="833"/>
    <w:uiPriority w:val="99"/>
    <w:rPr>
      <w:sz w:val="20"/>
    </w:rPr>
  </w:style>
  <w:style w:type="paragraph" w:styleId="802">
    <w:name w:val="TOC Heading"/>
    <w:uiPriority w:val="39"/>
    <w:unhideWhenUsed/>
  </w:style>
  <w:style w:type="paragraph" w:styleId="803" w:default="1">
    <w:name w:val="Normal"/>
    <w:qFormat/>
    <w:pPr>
      <w:spacing w:after="200" w:line="300" w:lineRule="atLeast"/>
    </w:pPr>
    <w:rPr>
      <w:rFonts w:ascii="Calibri" w:hAnsi="Calibri"/>
      <w:sz w:val="22"/>
    </w:rPr>
  </w:style>
  <w:style w:type="paragraph" w:styleId="804">
    <w:name w:val="Heading 1"/>
    <w:basedOn w:val="803"/>
    <w:next w:val="803"/>
    <w:link w:val="1018"/>
    <w:qFormat/>
    <w:pPr>
      <w:jc w:val="center"/>
      <w:outlineLvl w:val="0"/>
    </w:pPr>
    <w:rPr>
      <w:rFonts w:ascii="楷体_GB2312" w:hAnsi="楷体_GB2312"/>
      <w:b/>
    </w:rPr>
  </w:style>
  <w:style w:type="paragraph" w:styleId="805">
    <w:name w:val="Heading 2"/>
    <w:basedOn w:val="803"/>
    <w:next w:val="803"/>
    <w:link w:val="1019"/>
    <w:qFormat/>
    <w:pPr>
      <w:jc w:val="center"/>
      <w:spacing w:before="260" w:after="260" w:line="416" w:lineRule="auto"/>
      <w:outlineLvl w:val="1"/>
    </w:pPr>
    <w:rPr>
      <w:rFonts w:ascii="Arial" w:hAnsi="Arial" w:eastAsia="幼圆"/>
      <w:b/>
      <w:sz w:val="44"/>
    </w:rPr>
  </w:style>
  <w:style w:type="paragraph" w:styleId="806">
    <w:name w:val="Heading 3"/>
    <w:basedOn w:val="803"/>
    <w:next w:val="803"/>
    <w:link w:val="872"/>
    <w:qFormat/>
    <w:pPr>
      <w:keepLines/>
      <w:keepNext/>
      <w:spacing w:before="260" w:after="260" w:line="416" w:lineRule="auto"/>
      <w:outlineLvl w:val="2"/>
    </w:pPr>
    <w:rPr>
      <w:b/>
      <w:sz w:val="32"/>
    </w:rPr>
  </w:style>
  <w:style w:type="paragraph" w:styleId="807">
    <w:name w:val="Heading 4"/>
    <w:basedOn w:val="803"/>
    <w:next w:val="803"/>
    <w:link w:val="873"/>
    <w:qFormat/>
    <w:pPr>
      <w:keepLines/>
      <w:keepNext/>
      <w:spacing w:before="280" w:after="290" w:line="376" w:lineRule="auto"/>
      <w:outlineLvl w:val="3"/>
    </w:pPr>
    <w:rPr>
      <w:rFonts w:ascii="Arial" w:hAnsi="Arial" w:eastAsia="黑体"/>
      <w:b/>
      <w:bCs/>
      <w:sz w:val="28"/>
      <w:szCs w:val="28"/>
    </w:rPr>
  </w:style>
  <w:style w:type="paragraph" w:styleId="808">
    <w:name w:val="Heading 5"/>
    <w:basedOn w:val="803"/>
    <w:next w:val="803"/>
    <w:link w:val="874"/>
    <w:qFormat/>
    <w:pPr>
      <w:keepNext/>
      <w:outlineLvl w:val="4"/>
    </w:pPr>
    <w:rPr>
      <w:rFonts w:ascii="宋体" w:hAnsi="宋体"/>
      <w:b/>
      <w:bCs/>
    </w:rPr>
  </w:style>
  <w:style w:type="paragraph" w:styleId="809">
    <w:name w:val="Heading 6"/>
    <w:basedOn w:val="803"/>
    <w:next w:val="803"/>
    <w:link w:val="875"/>
    <w:uiPriority w:val="9"/>
    <w:unhideWhenUsed/>
    <w:qFormat/>
    <w:pPr>
      <w:keepLines/>
      <w:keepNext/>
      <w:spacing w:before="320"/>
      <w:outlineLvl w:val="5"/>
    </w:pPr>
    <w:rPr>
      <w:rFonts w:ascii="Arial" w:hAnsi="Arial" w:eastAsia="Arial" w:cs="Arial"/>
      <w:b/>
      <w:bCs/>
      <w:szCs w:val="22"/>
    </w:rPr>
  </w:style>
  <w:style w:type="paragraph" w:styleId="810">
    <w:name w:val="Heading 7"/>
    <w:basedOn w:val="803"/>
    <w:next w:val="803"/>
    <w:link w:val="876"/>
    <w:uiPriority w:val="9"/>
    <w:unhideWhenUsed/>
    <w:qFormat/>
    <w:pPr>
      <w:keepLines/>
      <w:keepNext/>
      <w:spacing w:before="320"/>
      <w:outlineLvl w:val="6"/>
    </w:pPr>
    <w:rPr>
      <w:rFonts w:ascii="Arial" w:hAnsi="Arial" w:eastAsia="Arial" w:cs="Arial"/>
      <w:b/>
      <w:bCs/>
      <w:i/>
      <w:iCs/>
      <w:szCs w:val="22"/>
    </w:rPr>
  </w:style>
  <w:style w:type="paragraph" w:styleId="811">
    <w:name w:val="Heading 8"/>
    <w:basedOn w:val="803"/>
    <w:next w:val="803"/>
    <w:link w:val="877"/>
    <w:uiPriority w:val="9"/>
    <w:unhideWhenUsed/>
    <w:qFormat/>
    <w:pPr>
      <w:keepLines/>
      <w:keepNext/>
      <w:spacing w:before="320"/>
      <w:outlineLvl w:val="7"/>
    </w:pPr>
    <w:rPr>
      <w:rFonts w:ascii="Arial" w:hAnsi="Arial" w:eastAsia="Arial" w:cs="Arial"/>
      <w:i/>
      <w:iCs/>
      <w:szCs w:val="22"/>
    </w:rPr>
  </w:style>
  <w:style w:type="paragraph" w:styleId="812">
    <w:name w:val="Heading 9"/>
    <w:basedOn w:val="803"/>
    <w:next w:val="803"/>
    <w:link w:val="878"/>
    <w:uiPriority w:val="9"/>
    <w:unhideWhenUsed/>
    <w:qFormat/>
    <w:pPr>
      <w:keepLines/>
      <w:keepNext/>
      <w:spacing w:before="320"/>
      <w:outlineLvl w:val="8"/>
    </w:pPr>
    <w:rPr>
      <w:rFonts w:ascii="Arial" w:hAnsi="Arial" w:eastAsia="Arial" w:cs="Arial"/>
      <w:i/>
      <w:iCs/>
      <w:sz w:val="21"/>
      <w:szCs w:val="21"/>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name w:val="toc 7"/>
    <w:basedOn w:val="803"/>
    <w:next w:val="803"/>
    <w:uiPriority w:val="39"/>
    <w:unhideWhenUsed/>
    <w:qFormat/>
    <w:pPr>
      <w:ind w:left="1701"/>
      <w:spacing w:after="57"/>
    </w:pPr>
  </w:style>
  <w:style w:type="paragraph" w:styleId="817">
    <w:name w:val="table of authorities"/>
    <w:basedOn w:val="803"/>
    <w:next w:val="803"/>
    <w:uiPriority w:val="99"/>
    <w:qFormat/>
    <w:pPr>
      <w:ind w:left="420"/>
    </w:pPr>
  </w:style>
  <w:style w:type="paragraph" w:styleId="818">
    <w:name w:val="Note Heading"/>
    <w:basedOn w:val="803"/>
    <w:next w:val="803"/>
    <w:qFormat/>
    <w:rPr>
      <w:rFonts w:ascii="Verdana" w:hAnsi="Verdana"/>
    </w:rPr>
  </w:style>
  <w:style w:type="paragraph" w:styleId="819">
    <w:name w:val="Normal Indent"/>
    <w:basedOn w:val="803"/>
    <w:link w:val="1020"/>
    <w:qFormat/>
    <w:pPr>
      <w:ind w:firstLine="420"/>
    </w:pPr>
  </w:style>
  <w:style w:type="paragraph" w:styleId="820">
    <w:name w:val="Caption"/>
    <w:basedOn w:val="803"/>
    <w:next w:val="803"/>
    <w:qFormat/>
    <w:pPr>
      <w:spacing w:before="152" w:after="160"/>
    </w:pPr>
    <w:rPr>
      <w:rFonts w:ascii="Arial" w:hAnsi="Arial" w:eastAsia="黑体"/>
      <w:sz w:val="32"/>
    </w:rPr>
  </w:style>
  <w:style w:type="paragraph" w:styleId="821">
    <w:name w:val="Document Map"/>
    <w:basedOn w:val="803"/>
    <w:semiHidden/>
    <w:qFormat/>
    <w:pPr>
      <w:shd w:val="clear" w:color="auto" w:fill="000080"/>
    </w:pPr>
  </w:style>
  <w:style w:type="paragraph" w:styleId="822">
    <w:name w:val="annotation text"/>
    <w:basedOn w:val="803"/>
    <w:link w:val="1021"/>
    <w:qFormat/>
  </w:style>
  <w:style w:type="paragraph" w:styleId="823">
    <w:name w:val="Body Text 3"/>
    <w:basedOn w:val="803"/>
    <w:qFormat/>
    <w:rPr>
      <w:rFonts w:ascii="仿宋_GB2312" w:hAnsi="Arial" w:eastAsia="仿宋_GB2312"/>
      <w:sz w:val="32"/>
    </w:rPr>
  </w:style>
  <w:style w:type="paragraph" w:styleId="824">
    <w:name w:val="Body Text"/>
    <w:basedOn w:val="803"/>
    <w:next w:val="825"/>
    <w:link w:val="1109"/>
    <w:qFormat/>
    <w:rPr>
      <w:rFonts w:ascii="楷体_GB2312" w:hAnsi="Arial" w:eastAsia="楷体_GB2312"/>
      <w:sz w:val="28"/>
    </w:rPr>
  </w:style>
  <w:style w:type="paragraph" w:styleId="825">
    <w:name w:val="Body Text 2"/>
    <w:basedOn w:val="803"/>
    <w:qFormat/>
    <w:pPr>
      <w:jc w:val="center"/>
    </w:pPr>
    <w:rPr>
      <w:rFonts w:ascii="仿宋_GB2312" w:eastAsia="仿宋_GB2312"/>
      <w:sz w:val="44"/>
    </w:rPr>
  </w:style>
  <w:style w:type="paragraph" w:styleId="826">
    <w:name w:val="Body Text Indent"/>
    <w:basedOn w:val="803"/>
    <w:next w:val="803"/>
    <w:link w:val="1022"/>
    <w:qFormat/>
    <w:pPr>
      <w:ind w:firstLine="645"/>
    </w:pPr>
    <w:rPr>
      <w:rFonts w:ascii="楷体_GB2312" w:eastAsia="楷体_GB2312"/>
      <w:sz w:val="32"/>
    </w:rPr>
  </w:style>
  <w:style w:type="paragraph" w:styleId="827">
    <w:name w:val="toc 5"/>
    <w:basedOn w:val="803"/>
    <w:next w:val="803"/>
    <w:uiPriority w:val="39"/>
    <w:unhideWhenUsed/>
    <w:qFormat/>
    <w:pPr>
      <w:ind w:left="1134"/>
      <w:spacing w:after="57"/>
    </w:pPr>
  </w:style>
  <w:style w:type="paragraph" w:styleId="828">
    <w:name w:val="toc 3"/>
    <w:basedOn w:val="803"/>
    <w:next w:val="803"/>
    <w:uiPriority w:val="39"/>
    <w:unhideWhenUsed/>
    <w:qFormat/>
    <w:pPr>
      <w:ind w:left="567"/>
      <w:spacing w:after="57"/>
    </w:pPr>
  </w:style>
  <w:style w:type="paragraph" w:styleId="829">
    <w:name w:val="Plain Text"/>
    <w:basedOn w:val="803"/>
    <w:link w:val="1035"/>
    <w:qFormat/>
    <w:rPr>
      <w:rFonts w:ascii="宋体" w:hAnsi="Courier New" w:eastAsia="楷体_GB2312"/>
      <w:sz w:val="28"/>
      <w:szCs w:val="21"/>
    </w:rPr>
  </w:style>
  <w:style w:type="paragraph" w:styleId="830">
    <w:name w:val="toc 8"/>
    <w:basedOn w:val="803"/>
    <w:next w:val="803"/>
    <w:uiPriority w:val="39"/>
    <w:unhideWhenUsed/>
    <w:qFormat/>
    <w:pPr>
      <w:ind w:left="1984"/>
      <w:spacing w:after="57"/>
    </w:pPr>
  </w:style>
  <w:style w:type="paragraph" w:styleId="831">
    <w:name w:val="Date"/>
    <w:basedOn w:val="803"/>
    <w:next w:val="803"/>
    <w:qFormat/>
    <w:rPr>
      <w:sz w:val="24"/>
    </w:rPr>
  </w:style>
  <w:style w:type="paragraph" w:styleId="832">
    <w:name w:val="Body Text Indent 2"/>
    <w:basedOn w:val="803"/>
    <w:next w:val="803"/>
    <w:qFormat/>
    <w:pPr>
      <w:ind w:firstLine="560"/>
    </w:pPr>
    <w:rPr>
      <w:rFonts w:ascii="宋体" w:hAnsi="宋体"/>
      <w:sz w:val="28"/>
    </w:rPr>
  </w:style>
  <w:style w:type="paragraph" w:styleId="833">
    <w:name w:val="endnote text"/>
    <w:basedOn w:val="803"/>
    <w:link w:val="1016"/>
    <w:qFormat/>
  </w:style>
  <w:style w:type="paragraph" w:styleId="834">
    <w:name w:val="Balloon Text"/>
    <w:basedOn w:val="803"/>
    <w:link w:val="1024"/>
    <w:qFormat/>
    <w:rPr>
      <w:sz w:val="18"/>
      <w:szCs w:val="18"/>
    </w:rPr>
  </w:style>
  <w:style w:type="paragraph" w:styleId="835">
    <w:name w:val="Footer"/>
    <w:basedOn w:val="803"/>
    <w:link w:val="1025"/>
    <w:uiPriority w:val="99"/>
    <w:qFormat/>
    <w:pPr>
      <w:tabs>
        <w:tab w:val="center" w:pos="4153" w:leader="none"/>
        <w:tab w:val="right" w:pos="8306" w:leader="none"/>
      </w:tabs>
    </w:pPr>
    <w:rPr>
      <w:sz w:val="18"/>
    </w:rPr>
  </w:style>
  <w:style w:type="paragraph" w:styleId="836">
    <w:name w:val="envelope return"/>
    <w:basedOn w:val="803"/>
    <w:qFormat/>
    <w:rPr>
      <w:rFonts w:ascii="Arial" w:hAnsi="Arial"/>
    </w:rPr>
  </w:style>
  <w:style w:type="paragraph" w:styleId="837">
    <w:name w:val="Header"/>
    <w:basedOn w:val="803"/>
    <w:link w:val="1026"/>
    <w:uiPriority w:val="99"/>
    <w:qFormat/>
    <w:pPr>
      <w:jc w:val="center"/>
      <w:tabs>
        <w:tab w:val="center" w:pos="4153" w:leader="none"/>
        <w:tab w:val="right" w:pos="8306" w:leader="none"/>
      </w:tabs>
      <w:pBdr>
        <w:bottom w:val="single" w:color="000000" w:sz="6" w:space="1"/>
      </w:pBdr>
    </w:pPr>
    <w:rPr>
      <w:sz w:val="18"/>
      <w:szCs w:val="18"/>
    </w:rPr>
  </w:style>
  <w:style w:type="paragraph" w:styleId="838">
    <w:name w:val="toc 1"/>
    <w:basedOn w:val="803"/>
    <w:next w:val="803"/>
    <w:uiPriority w:val="39"/>
    <w:unhideWhenUsed/>
    <w:qFormat/>
    <w:pPr>
      <w:spacing w:after="57"/>
    </w:pPr>
  </w:style>
  <w:style w:type="paragraph" w:styleId="839">
    <w:name w:val="toc 4"/>
    <w:basedOn w:val="803"/>
    <w:next w:val="803"/>
    <w:uiPriority w:val="39"/>
    <w:unhideWhenUsed/>
    <w:qFormat/>
    <w:pPr>
      <w:ind w:left="850"/>
      <w:spacing w:after="57"/>
    </w:pPr>
  </w:style>
  <w:style w:type="paragraph" w:styleId="840">
    <w:name w:val="Subtitle"/>
    <w:basedOn w:val="803"/>
    <w:next w:val="803"/>
    <w:link w:val="882"/>
    <w:uiPriority w:val="11"/>
    <w:qFormat/>
    <w:pPr>
      <w:spacing w:before="200"/>
    </w:pPr>
    <w:rPr>
      <w:sz w:val="24"/>
      <w:szCs w:val="24"/>
    </w:rPr>
  </w:style>
  <w:style w:type="paragraph" w:styleId="841">
    <w:name w:val="footnote text"/>
    <w:basedOn w:val="803"/>
    <w:link w:val="1015"/>
    <w:uiPriority w:val="99"/>
    <w:semiHidden/>
    <w:unhideWhenUsed/>
    <w:qFormat/>
    <w:pPr>
      <w:spacing w:after="40" w:line="240" w:lineRule="auto"/>
    </w:pPr>
    <w:rPr>
      <w:sz w:val="18"/>
    </w:rPr>
  </w:style>
  <w:style w:type="paragraph" w:styleId="842">
    <w:name w:val="toc 6"/>
    <w:basedOn w:val="803"/>
    <w:next w:val="803"/>
    <w:uiPriority w:val="39"/>
    <w:unhideWhenUsed/>
    <w:qFormat/>
    <w:pPr>
      <w:ind w:left="1417"/>
      <w:spacing w:after="57"/>
    </w:pPr>
  </w:style>
  <w:style w:type="paragraph" w:styleId="843">
    <w:name w:val="Body Text Indent 3"/>
    <w:basedOn w:val="803"/>
    <w:qFormat/>
    <w:pPr>
      <w:ind w:firstLine="523"/>
    </w:pPr>
    <w:rPr>
      <w:rFonts w:ascii="仿宋_GB2312" w:hAnsi="宋体" w:eastAsia="仿宋_GB2312"/>
      <w:sz w:val="24"/>
    </w:rPr>
  </w:style>
  <w:style w:type="paragraph" w:styleId="844">
    <w:name w:val="table of figures"/>
    <w:basedOn w:val="803"/>
    <w:next w:val="803"/>
    <w:uiPriority w:val="99"/>
    <w:unhideWhenUsed/>
    <w:qFormat/>
    <w:pPr>
      <w:spacing w:after="0"/>
    </w:pPr>
  </w:style>
  <w:style w:type="paragraph" w:styleId="845">
    <w:name w:val="toc 2"/>
    <w:basedOn w:val="803"/>
    <w:next w:val="803"/>
    <w:uiPriority w:val="39"/>
    <w:unhideWhenUsed/>
    <w:qFormat/>
    <w:pPr>
      <w:ind w:left="283"/>
      <w:spacing w:after="57"/>
    </w:pPr>
  </w:style>
  <w:style w:type="paragraph" w:styleId="846">
    <w:name w:val="toc 9"/>
    <w:basedOn w:val="803"/>
    <w:next w:val="803"/>
    <w:uiPriority w:val="39"/>
    <w:unhideWhenUsed/>
    <w:qFormat/>
    <w:pPr>
      <w:ind w:left="2268"/>
      <w:spacing w:after="57"/>
    </w:pPr>
  </w:style>
  <w:style w:type="paragraph" w:styleId="847">
    <w:name w:val="HTML Preformatted"/>
    <w:basedOn w:val="80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48">
    <w:name w:val="Normal (Web)"/>
    <w:basedOn w:val="803"/>
    <w:unhideWhenUsed/>
    <w:qFormat/>
    <w:pPr>
      <w:spacing w:before="100" w:beforeAutospacing="1" w:after="100" w:afterAutospacing="1"/>
    </w:pPr>
    <w:rPr>
      <w:rFonts w:ascii="宋体" w:hAnsi="宋体" w:cs="宋体"/>
      <w:sz w:val="24"/>
    </w:rPr>
  </w:style>
  <w:style w:type="paragraph" w:styleId="849">
    <w:name w:val="Title"/>
    <w:basedOn w:val="803"/>
    <w:next w:val="803"/>
    <w:link w:val="881"/>
    <w:uiPriority w:val="99"/>
    <w:qFormat/>
    <w:pPr>
      <w:jc w:val="center"/>
      <w:spacing w:before="240" w:after="60"/>
      <w:outlineLvl w:val="0"/>
    </w:pPr>
    <w:rPr>
      <w:rFonts w:ascii="Cambria" w:hAnsi="Cambria"/>
      <w:b/>
      <w:sz w:val="32"/>
    </w:rPr>
  </w:style>
  <w:style w:type="paragraph" w:styleId="850">
    <w:name w:val="annotation subject"/>
    <w:basedOn w:val="822"/>
    <w:next w:val="822"/>
    <w:link w:val="1028"/>
    <w:qFormat/>
    <w:rPr>
      <w:b/>
      <w:bCs/>
    </w:rPr>
  </w:style>
  <w:style w:type="paragraph" w:styleId="851">
    <w:name w:val="Body Text First Indent"/>
    <w:basedOn w:val="824"/>
    <w:link w:val="1110"/>
    <w:uiPriority w:val="99"/>
    <w:semiHidden/>
    <w:unhideWhenUsed/>
    <w:qFormat/>
    <w:pPr>
      <w:ind w:firstLine="420"/>
      <w:spacing w:after="120"/>
    </w:pPr>
    <w:rPr>
      <w:rFonts w:ascii="Calibri" w:hAnsi="Calibri" w:eastAsia="宋体"/>
      <w:sz w:val="22"/>
    </w:rPr>
  </w:style>
  <w:style w:type="table" w:styleId="852">
    <w:name w:val="Table Grid"/>
    <w:basedOn w:val="81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qFormat/>
    <w:rPr>
      <w:b/>
      <w:bCs/>
    </w:rPr>
  </w:style>
  <w:style w:type="character" w:styleId="854">
    <w:name w:val="endnote reference"/>
    <w:uiPriority w:val="99"/>
    <w:semiHidden/>
    <w:unhideWhenUsed/>
    <w:qFormat/>
    <w:rPr>
      <w:vertAlign w:val="superscript"/>
    </w:rPr>
  </w:style>
  <w:style w:type="character" w:styleId="855">
    <w:name w:val="page number"/>
    <w:qFormat/>
  </w:style>
  <w:style w:type="character" w:styleId="856">
    <w:name w:val="FollowedHyperlink"/>
    <w:qFormat/>
    <w:rPr>
      <w:color w:val="800080"/>
      <w:u w:val="none"/>
    </w:rPr>
  </w:style>
  <w:style w:type="character" w:styleId="857">
    <w:name w:val="Emphasis"/>
    <w:qFormat/>
    <w:rPr>
      <w:i/>
      <w:iCs/>
    </w:rPr>
  </w:style>
  <w:style w:type="character" w:styleId="858">
    <w:name w:val="HTML Definition"/>
    <w:qFormat/>
  </w:style>
  <w:style w:type="character" w:styleId="859">
    <w:name w:val="HTML Typewriter"/>
    <w:qFormat/>
    <w:rPr>
      <w:rFonts w:ascii="monospace" w:hAnsi="monospace" w:eastAsia="monospace" w:cs="monospace"/>
      <w:sz w:val="20"/>
    </w:rPr>
  </w:style>
  <w:style w:type="character" w:styleId="860">
    <w:name w:val="HTML Acronym"/>
    <w:qFormat/>
  </w:style>
  <w:style w:type="character" w:styleId="861">
    <w:name w:val="HTML Variable"/>
    <w:qFormat/>
  </w:style>
  <w:style w:type="character" w:styleId="862">
    <w:name w:val="Hyperlink"/>
    <w:qFormat/>
    <w:rPr>
      <w:color w:val="0000ff"/>
      <w:u w:val="none"/>
    </w:rPr>
  </w:style>
  <w:style w:type="character" w:styleId="863">
    <w:name w:val="HTML Code"/>
    <w:qFormat/>
    <w:rPr>
      <w:rFonts w:ascii="monospace" w:hAnsi="monospace" w:eastAsia="monospace" w:cs="monospace"/>
      <w:sz w:val="20"/>
    </w:rPr>
  </w:style>
  <w:style w:type="character" w:styleId="864">
    <w:name w:val="annotation reference"/>
    <w:qFormat/>
    <w:rPr>
      <w:sz w:val="21"/>
      <w:szCs w:val="21"/>
    </w:rPr>
  </w:style>
  <w:style w:type="character" w:styleId="865">
    <w:name w:val="HTML Cite"/>
    <w:qFormat/>
  </w:style>
  <w:style w:type="character" w:styleId="866">
    <w:name w:val="footnote reference"/>
    <w:uiPriority w:val="99"/>
    <w:unhideWhenUsed/>
    <w:qFormat/>
    <w:rPr>
      <w:vertAlign w:val="superscript"/>
    </w:rPr>
  </w:style>
  <w:style w:type="character" w:styleId="867">
    <w:name w:val="HTML Keyboard"/>
    <w:qFormat/>
    <w:rPr>
      <w:rFonts w:ascii="monospace" w:hAnsi="monospace" w:eastAsia="monospace" w:cs="monospace"/>
      <w:sz w:val="20"/>
    </w:rPr>
  </w:style>
  <w:style w:type="character" w:styleId="868">
    <w:name w:val="HTML Sample"/>
    <w:qFormat/>
    <w:rPr>
      <w:rFonts w:ascii="monospace" w:hAnsi="monospace" w:eastAsia="monospace" w:cs="monospace"/>
    </w:rPr>
  </w:style>
  <w:style w:type="paragraph" w:styleId="869" w:customStyle="1">
    <w:name w:val="列出段落1"/>
    <w:basedOn w:val="803"/>
    <w:link w:val="1038"/>
    <w:qFormat/>
    <w:pPr>
      <w:contextualSpacing/>
      <w:ind w:left="720"/>
    </w:pPr>
    <w:rPr>
      <w:sz w:val="24"/>
      <w:lang w:eastAsia="en-US" w:bidi="en-US"/>
    </w:rPr>
  </w:style>
  <w:style w:type="character" w:styleId="870" w:customStyle="1">
    <w:name w:val="Heading 1 Char"/>
    <w:uiPriority w:val="9"/>
    <w:qFormat/>
    <w:rPr>
      <w:rFonts w:ascii="Arial" w:hAnsi="Arial" w:eastAsia="Arial" w:cs="Arial"/>
      <w:sz w:val="40"/>
      <w:szCs w:val="40"/>
    </w:rPr>
  </w:style>
  <w:style w:type="character" w:styleId="871" w:customStyle="1">
    <w:name w:val="Heading 2 Char"/>
    <w:uiPriority w:val="9"/>
    <w:qFormat/>
    <w:rPr>
      <w:rFonts w:ascii="Arial" w:hAnsi="Arial" w:eastAsia="Arial" w:cs="Arial"/>
      <w:sz w:val="34"/>
    </w:rPr>
  </w:style>
  <w:style w:type="character" w:styleId="872" w:customStyle="1">
    <w:name w:val="标题 3 字符"/>
    <w:link w:val="806"/>
    <w:uiPriority w:val="9"/>
    <w:qFormat/>
    <w:rPr>
      <w:rFonts w:ascii="Arial" w:hAnsi="Arial" w:eastAsia="Arial" w:cs="Arial"/>
      <w:sz w:val="30"/>
      <w:szCs w:val="30"/>
    </w:rPr>
  </w:style>
  <w:style w:type="character" w:styleId="873" w:customStyle="1">
    <w:name w:val="标题 4 字符"/>
    <w:link w:val="807"/>
    <w:uiPriority w:val="9"/>
    <w:qFormat/>
    <w:rPr>
      <w:rFonts w:ascii="Arial" w:hAnsi="Arial" w:eastAsia="Arial" w:cs="Arial"/>
      <w:b/>
      <w:bCs/>
      <w:sz w:val="26"/>
      <w:szCs w:val="26"/>
    </w:rPr>
  </w:style>
  <w:style w:type="character" w:styleId="874" w:customStyle="1">
    <w:name w:val="标题 5 字符"/>
    <w:link w:val="808"/>
    <w:uiPriority w:val="9"/>
    <w:qFormat/>
    <w:rPr>
      <w:rFonts w:ascii="Arial" w:hAnsi="Arial" w:eastAsia="Arial" w:cs="Arial"/>
      <w:b/>
      <w:bCs/>
      <w:sz w:val="24"/>
      <w:szCs w:val="24"/>
    </w:rPr>
  </w:style>
  <w:style w:type="character" w:styleId="875" w:customStyle="1">
    <w:name w:val="标题 6 字符"/>
    <w:link w:val="809"/>
    <w:uiPriority w:val="9"/>
    <w:qFormat/>
    <w:rPr>
      <w:rFonts w:ascii="Arial" w:hAnsi="Arial" w:eastAsia="Arial" w:cs="Arial"/>
      <w:b/>
      <w:bCs/>
      <w:sz w:val="22"/>
      <w:szCs w:val="22"/>
    </w:rPr>
  </w:style>
  <w:style w:type="character" w:styleId="876" w:customStyle="1">
    <w:name w:val="标题 7 字符"/>
    <w:link w:val="810"/>
    <w:uiPriority w:val="9"/>
    <w:qFormat/>
    <w:rPr>
      <w:rFonts w:ascii="Arial" w:hAnsi="Arial" w:eastAsia="Arial" w:cs="Arial"/>
      <w:b/>
      <w:bCs/>
      <w:i/>
      <w:iCs/>
      <w:sz w:val="22"/>
      <w:szCs w:val="22"/>
    </w:rPr>
  </w:style>
  <w:style w:type="character" w:styleId="877" w:customStyle="1">
    <w:name w:val="标题 8 字符"/>
    <w:link w:val="811"/>
    <w:uiPriority w:val="9"/>
    <w:qFormat/>
    <w:rPr>
      <w:rFonts w:ascii="Arial" w:hAnsi="Arial" w:eastAsia="Arial" w:cs="Arial"/>
      <w:i/>
      <w:iCs/>
      <w:sz w:val="22"/>
      <w:szCs w:val="22"/>
    </w:rPr>
  </w:style>
  <w:style w:type="character" w:styleId="878" w:customStyle="1">
    <w:name w:val="标题 9 字符"/>
    <w:link w:val="812"/>
    <w:uiPriority w:val="9"/>
    <w:qFormat/>
    <w:rPr>
      <w:rFonts w:ascii="Arial" w:hAnsi="Arial" w:eastAsia="Arial" w:cs="Arial"/>
      <w:i/>
      <w:iCs/>
      <w:sz w:val="21"/>
      <w:szCs w:val="21"/>
    </w:rPr>
  </w:style>
  <w:style w:type="paragraph" w:styleId="879">
    <w:name w:val="List Paragraph"/>
    <w:basedOn w:val="803"/>
    <w:uiPriority w:val="34"/>
    <w:qFormat/>
    <w:pPr>
      <w:contextualSpacing/>
      <w:ind w:left="720"/>
    </w:pPr>
  </w:style>
  <w:style w:type="paragraph" w:styleId="880">
    <w:name w:val="No Spacing"/>
    <w:uiPriority w:val="1"/>
    <w:qFormat/>
    <w:pPr>
      <w:jc w:val="both"/>
      <w:widowControl w:val="off"/>
    </w:pPr>
    <w:rPr>
      <w:sz w:val="21"/>
      <w:szCs w:val="24"/>
    </w:rPr>
  </w:style>
  <w:style w:type="character" w:styleId="881" w:customStyle="1">
    <w:name w:val="标题 字符"/>
    <w:link w:val="849"/>
    <w:uiPriority w:val="10"/>
    <w:qFormat/>
    <w:rPr>
      <w:sz w:val="48"/>
      <w:szCs w:val="48"/>
    </w:rPr>
  </w:style>
  <w:style w:type="character" w:styleId="882" w:customStyle="1">
    <w:name w:val="副标题 字符"/>
    <w:link w:val="840"/>
    <w:uiPriority w:val="11"/>
    <w:qFormat/>
    <w:rPr>
      <w:sz w:val="24"/>
      <w:szCs w:val="24"/>
    </w:rPr>
  </w:style>
  <w:style w:type="paragraph" w:styleId="883">
    <w:name w:val="Quote"/>
    <w:basedOn w:val="803"/>
    <w:next w:val="803"/>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03"/>
    <w:next w:val="803"/>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Caption Char"/>
    <w:uiPriority w:val="99"/>
    <w:qFormat/>
  </w:style>
  <w:style w:type="table" w:styleId="8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字符"/>
    <w:link w:val="841"/>
    <w:uiPriority w:val="99"/>
    <w:qFormat/>
    <w:rPr>
      <w:sz w:val="18"/>
    </w:rPr>
  </w:style>
  <w:style w:type="character" w:styleId="1016" w:customStyle="1">
    <w:name w:val="尾注文本 字符"/>
    <w:link w:val="833"/>
    <w:uiPriority w:val="99"/>
    <w:qFormat/>
    <w:rPr>
      <w:sz w:val="20"/>
    </w:rPr>
  </w:style>
  <w:style w:type="paragraph" w:styleId="1017" w:customStyle="1">
    <w:name w:val="TOC 标题1"/>
    <w:uiPriority w:val="39"/>
    <w:unhideWhenUsed/>
    <w:qFormat/>
  </w:style>
  <w:style w:type="character" w:styleId="1018" w:customStyle="1">
    <w:name w:val="标题 1 字符"/>
    <w:link w:val="804"/>
    <w:qFormat/>
    <w:rPr>
      <w:rFonts w:ascii="楷体_GB2312" w:hAnsi="楷体_GB2312" w:eastAsia="宋体"/>
      <w:b/>
      <w:sz w:val="21"/>
      <w:lang w:val="en-US" w:eastAsia="zh-CN" w:bidi="ar-SA"/>
    </w:rPr>
  </w:style>
  <w:style w:type="character" w:styleId="1019" w:customStyle="1">
    <w:name w:val="标题 2 字符"/>
    <w:link w:val="805"/>
    <w:qFormat/>
    <w:rPr>
      <w:rFonts w:ascii="Arial" w:hAnsi="Arial" w:eastAsia="幼圆"/>
      <w:b/>
      <w:sz w:val="44"/>
      <w:lang w:bidi="ar-SA"/>
    </w:rPr>
  </w:style>
  <w:style w:type="character" w:styleId="1020" w:customStyle="1">
    <w:name w:val="正文缩进 字符"/>
    <w:link w:val="819"/>
    <w:qFormat/>
    <w:rPr>
      <w:rFonts w:eastAsia="宋体"/>
      <w:sz w:val="21"/>
      <w:lang w:val="en-US" w:eastAsia="zh-CN" w:bidi="ar-SA"/>
    </w:rPr>
  </w:style>
  <w:style w:type="character" w:styleId="1021" w:customStyle="1">
    <w:name w:val="批注文字 字符"/>
    <w:link w:val="822"/>
    <w:qFormat/>
    <w:rPr>
      <w:sz w:val="21"/>
      <w:szCs w:val="24"/>
      <w:lang w:bidi="ar-SA"/>
    </w:rPr>
  </w:style>
  <w:style w:type="character" w:styleId="1022" w:customStyle="1">
    <w:name w:val="正文文本缩进 字符"/>
    <w:link w:val="826"/>
    <w:qFormat/>
    <w:rPr>
      <w:rFonts w:ascii="楷体_GB2312" w:eastAsia="楷体_GB2312"/>
      <w:sz w:val="32"/>
      <w:lang w:bidi="ar-SA"/>
    </w:rPr>
  </w:style>
  <w:style w:type="character" w:styleId="1023" w:customStyle="1">
    <w:name w:val="纯文本 字符1"/>
    <w:uiPriority w:val="99"/>
    <w:qFormat/>
    <w:rPr>
      <w:rFonts w:ascii="宋体" w:hAnsi="Courier New"/>
      <w:sz w:val="21"/>
    </w:rPr>
  </w:style>
  <w:style w:type="character" w:styleId="1024" w:customStyle="1">
    <w:name w:val="批注框文本 字符1"/>
    <w:link w:val="834"/>
    <w:qFormat/>
    <w:rPr>
      <w:sz w:val="18"/>
      <w:szCs w:val="18"/>
    </w:rPr>
  </w:style>
  <w:style w:type="character" w:styleId="1025" w:customStyle="1">
    <w:name w:val="页脚 字符"/>
    <w:link w:val="835"/>
    <w:uiPriority w:val="99"/>
    <w:qFormat/>
    <w:rPr>
      <w:sz w:val="18"/>
      <w:lang w:bidi="ar-SA"/>
    </w:rPr>
  </w:style>
  <w:style w:type="character" w:styleId="1026" w:customStyle="1">
    <w:name w:val="页眉 字符"/>
    <w:link w:val="837"/>
    <w:uiPriority w:val="99"/>
    <w:qFormat/>
    <w:rPr>
      <w:sz w:val="18"/>
      <w:szCs w:val="18"/>
    </w:rPr>
  </w:style>
  <w:style w:type="paragraph" w:styleId="1027" w:customStyle="1">
    <w:name w:val="目录 11"/>
    <w:basedOn w:val="803"/>
    <w:next w:val="803"/>
    <w:qFormat/>
  </w:style>
  <w:style w:type="character" w:styleId="1028" w:customStyle="1">
    <w:name w:val="批注主题 字符"/>
    <w:link w:val="850"/>
    <w:qFormat/>
    <w:rPr>
      <w:b/>
      <w:bCs/>
      <w:sz w:val="21"/>
      <w:szCs w:val="24"/>
      <w:lang w:bidi="ar-SA"/>
    </w:rPr>
  </w:style>
  <w:style w:type="paragraph" w:styleId="1029" w:customStyle="1">
    <w:name w:val="正文首行缩进1"/>
    <w:basedOn w:val="824"/>
    <w:uiPriority w:val="99"/>
    <w:unhideWhenUsed/>
    <w:qFormat/>
    <w:pPr>
      <w:ind w:firstLine="420"/>
    </w:pPr>
  </w:style>
  <w:style w:type="paragraph" w:styleId="1030" w:customStyle="1">
    <w:name w:val="正文首行缩进 21"/>
    <w:basedOn w:val="826"/>
    <w:next w:val="803"/>
    <w:qFormat/>
    <w:pPr>
      <w:ind w:left="420" w:firstLine="420"/>
      <w:spacing w:after="120" w:line="276" w:lineRule="auto"/>
      <w:tabs>
        <w:tab w:val="left" w:pos="180" w:leader="none"/>
      </w:tabs>
    </w:pPr>
    <w:rPr>
      <w:rFonts w:ascii="Calibri" w:eastAsia="宋体"/>
      <w:sz w:val="22"/>
      <w:szCs w:val="22"/>
      <w:lang w:eastAsia="en-US"/>
    </w:rPr>
  </w:style>
  <w:style w:type="paragraph" w:styleId="1031" w:customStyle="1">
    <w:name w:val="Char Char Char Char1"/>
    <w:basedOn w:val="803"/>
    <w:next w:val="803"/>
    <w:qFormat/>
    <w:pPr>
      <w:ind w:left="2210" w:hanging="748"/>
      <w:jc w:val="center"/>
      <w:spacing w:line="360" w:lineRule="auto"/>
      <w:tabs>
        <w:tab w:val="left" w:pos="845" w:leader="none"/>
      </w:tabs>
    </w:pPr>
    <w:rPr>
      <w:szCs w:val="24"/>
    </w:rPr>
  </w:style>
  <w:style w:type="character" w:styleId="1032" w:customStyle="1">
    <w:name w:val="纯文本 字符"/>
    <w:uiPriority w:val="99"/>
    <w:qFormat/>
    <w:rPr>
      <w:rFonts w:ascii="宋体" w:hAnsi="Courier New"/>
      <w:sz w:val="21"/>
    </w:rPr>
  </w:style>
  <w:style w:type="character" w:styleId="1033" w:customStyle="1">
    <w:name w:val="列出段落 字符"/>
    <w:link w:val="1034"/>
    <w:uiPriority w:val="34"/>
    <w:qFormat/>
    <w:rPr>
      <w:sz w:val="21"/>
      <w:szCs w:val="22"/>
    </w:rPr>
  </w:style>
  <w:style w:type="paragraph" w:styleId="1034" w:customStyle="1">
    <w:name w:val="列出段落"/>
    <w:basedOn w:val="803"/>
    <w:next w:val="833"/>
    <w:link w:val="1033"/>
    <w:uiPriority w:val="34"/>
    <w:qFormat/>
    <w:pPr>
      <w:ind w:firstLine="420"/>
    </w:pPr>
    <w:rPr>
      <w:szCs w:val="22"/>
    </w:rPr>
  </w:style>
  <w:style w:type="character" w:styleId="1035" w:customStyle="1">
    <w:name w:val="纯文本 字符2"/>
    <w:link w:val="829"/>
    <w:qFormat/>
    <w:rPr>
      <w:rFonts w:ascii="宋体" w:hAnsi="Courier New" w:eastAsia="楷体_GB2312" w:cs="宋体"/>
      <w:sz w:val="28"/>
      <w:szCs w:val="21"/>
    </w:rPr>
  </w:style>
  <w:style w:type="character" w:styleId="1036" w:customStyle="1">
    <w:name w:val="apple-style-span"/>
    <w:uiPriority w:val="99"/>
    <w:qFormat/>
    <w:rPr>
      <w:rFonts w:cs="Times New Roman"/>
    </w:rPr>
  </w:style>
  <w:style w:type="character" w:styleId="1037" w:customStyle="1">
    <w:name w:val="标题2 Char"/>
    <w:qFormat/>
    <w:rPr>
      <w:rFonts w:ascii="方正楷体_GBK" w:hAnsi="Book Antiqua" w:eastAsia="方正楷体_GBK"/>
      <w:sz w:val="32"/>
      <w:lang w:val="en-US" w:eastAsia="zh-CN" w:bidi="ar-SA"/>
    </w:rPr>
  </w:style>
  <w:style w:type="character" w:styleId="1038" w:customStyle="1">
    <w:name w:val="列出段落 Char"/>
    <w:link w:val="869"/>
    <w:qFormat/>
    <w:rPr>
      <w:rFonts w:ascii="Calibri" w:hAnsi="Calibri"/>
      <w:sz w:val="24"/>
      <w:szCs w:val="24"/>
      <w:lang w:eastAsia="en-US" w:bidi="en-US"/>
    </w:rPr>
  </w:style>
  <w:style w:type="character" w:styleId="1039" w:customStyle="1">
    <w:name w:val="列出段落 Char1"/>
    <w:link w:val="1040"/>
    <w:uiPriority w:val="34"/>
    <w:qFormat/>
    <w:rPr>
      <w:sz w:val="21"/>
      <w:szCs w:val="21"/>
    </w:rPr>
  </w:style>
  <w:style w:type="paragraph" w:styleId="1040" w:customStyle="1">
    <w:name w:val="列出段落2"/>
    <w:basedOn w:val="803"/>
    <w:link w:val="1039"/>
    <w:uiPriority w:val="34"/>
    <w:qFormat/>
    <w:pPr>
      <w:ind w:firstLine="420"/>
    </w:pPr>
    <w:rPr>
      <w:szCs w:val="21"/>
    </w:rPr>
  </w:style>
  <w:style w:type="character" w:styleId="1041" w:customStyle="1">
    <w:name w:val="current"/>
    <w:qFormat/>
    <w:rPr>
      <w:b/>
      <w:bCs/>
      <w:color w:val="05a7d8"/>
      <w:sz w:val="18"/>
      <w:szCs w:val="18"/>
    </w:rPr>
  </w:style>
  <w:style w:type="character" w:styleId="1042" w:customStyle="1">
    <w:name w:val="l-btn-left"/>
    <w:qFormat/>
  </w:style>
  <w:style w:type="character" w:styleId="1043" w:customStyle="1">
    <w:name w:val="l-btn-text36"/>
    <w:qFormat/>
  </w:style>
  <w:style w:type="character" w:styleId="1044" w:customStyle="1">
    <w:name w:val="jj1"/>
    <w:qFormat/>
    <w:rPr>
      <w:sz w:val="20"/>
      <w:szCs w:val="20"/>
      <w:u w:val="none"/>
    </w:rPr>
  </w:style>
  <w:style w:type="character" w:styleId="1045" w:customStyle="1">
    <w:name w:val="批注框文本 字符"/>
    <w:qFormat/>
    <w:rPr>
      <w:sz w:val="18"/>
      <w:szCs w:val="18"/>
    </w:rPr>
  </w:style>
  <w:style w:type="paragraph" w:styleId="1046" w:customStyle="1">
    <w:name w:val="WPSOffice手动目录 1"/>
    <w:qFormat/>
  </w:style>
  <w:style w:type="paragraph" w:styleId="1047" w:customStyle="1">
    <w:name w:val="简单回函地址"/>
    <w:basedOn w:val="803"/>
    <w:qFormat/>
    <w:rPr>
      <w:rFonts w:cs="宋体"/>
      <w:szCs w:val="21"/>
    </w:rPr>
  </w:style>
  <w:style w:type="paragraph" w:styleId="1048" w:customStyle="1">
    <w:name w:val="注释标题1"/>
    <w:basedOn w:val="803"/>
    <w:next w:val="803"/>
    <w:qFormat/>
    <w:rPr>
      <w:rFonts w:ascii="Verdana" w:hAnsi="Verdana"/>
    </w:rPr>
  </w:style>
  <w:style w:type="paragraph" w:styleId="1049" w:customStyle="1">
    <w:name w:val="Char Char Char Char1 Char Char Char"/>
    <w:basedOn w:val="821"/>
    <w:qFormat/>
    <w:pPr>
      <w:spacing w:line="360" w:lineRule="auto"/>
    </w:pPr>
    <w:rPr>
      <w:rFonts w:ascii="Tahoma" w:hAnsi="Tahoma"/>
      <w:sz w:val="24"/>
    </w:rPr>
  </w:style>
  <w:style w:type="paragraph" w:styleId="1050" w:customStyle="1">
    <w:name w:val="普通正文"/>
    <w:basedOn w:val="803"/>
    <w:qFormat/>
    <w:pPr>
      <w:ind w:firstLine="480"/>
      <w:spacing w:before="120" w:after="120" w:line="360" w:lineRule="auto"/>
    </w:pPr>
    <w:rPr>
      <w:rFonts w:ascii="Arial" w:hAnsi="Arial"/>
      <w:sz w:val="24"/>
    </w:rPr>
  </w:style>
  <w:style w:type="paragraph" w:styleId="1051" w:customStyle="1">
    <w:name w:val="Heading31"/>
    <w:basedOn w:val="803"/>
    <w:next w:val="803"/>
    <w:qFormat/>
    <w:pPr>
      <w:keepLines/>
      <w:keepNext/>
      <w:spacing w:before="260" w:after="260" w:line="412" w:lineRule="auto"/>
    </w:pPr>
    <w:rPr>
      <w:b/>
      <w:bCs/>
      <w:sz w:val="32"/>
      <w:szCs w:val="32"/>
    </w:rPr>
  </w:style>
  <w:style w:type="paragraph" w:styleId="1052" w:customStyle="1">
    <w:name w:val="正文空2格  1."/>
    <w:basedOn w:val="803"/>
    <w:qFormat/>
    <w:pPr>
      <w:ind w:firstLine="480"/>
      <w:spacing w:line="360" w:lineRule="auto"/>
    </w:pPr>
    <w:rPr>
      <w:rFonts w:ascii="宋体" w:eastAsia="仿宋" w:cs="宋体"/>
      <w:sz w:val="28"/>
    </w:rPr>
  </w:style>
  <w:style w:type="paragraph" w:styleId="1053" w:customStyle="1">
    <w:name w:val="空行"/>
    <w:basedOn w:val="803"/>
    <w:next w:val="803"/>
    <w:qFormat/>
    <w:pPr>
      <w:jc w:val="center"/>
      <w:spacing w:line="360" w:lineRule="atLeast"/>
    </w:pPr>
    <w:rPr>
      <w:spacing w:val="20"/>
      <w:sz w:val="24"/>
    </w:rPr>
  </w:style>
  <w:style w:type="paragraph" w:styleId="1054" w:customStyle="1">
    <w:name w:val="Char"/>
    <w:basedOn w:val="803"/>
    <w:qFormat/>
    <w:rPr>
      <w:rFonts w:ascii="Tahoma" w:hAnsi="Tahoma"/>
      <w:sz w:val="24"/>
    </w:rPr>
  </w:style>
  <w:style w:type="paragraph" w:styleId="1055" w:customStyle="1">
    <w:name w:val="HTML 预先格式化"/>
    <w:basedOn w:val="80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56" w:customStyle="1">
    <w:name w:val="纯文本3"/>
    <w:basedOn w:val="803"/>
    <w:qFormat/>
    <w:rPr>
      <w:rFonts w:hint="eastAsia" w:ascii="宋体" w:hAnsi="Courier New" w:eastAsia="楷体_GB2312"/>
      <w:sz w:val="28"/>
    </w:rPr>
  </w:style>
  <w:style w:type="paragraph" w:styleId="1057" w:customStyle="1">
    <w:name w:val="Table Text"/>
    <w:qFormat/>
    <w:pPr>
      <w:jc w:val="center"/>
      <w:spacing w:after="80"/>
    </w:pPr>
    <w:rPr>
      <w:rFonts w:ascii="仿宋_GB2312" w:hAnsi="宋体" w:eastAsia="仿宋_GB2312"/>
      <w:sz w:val="24"/>
    </w:rPr>
  </w:style>
  <w:style w:type="paragraph" w:styleId="1058" w:customStyle="1">
    <w:name w:val="二级目录"/>
    <w:next w:val="803"/>
    <w:uiPriority w:val="99"/>
    <w:qFormat/>
    <w:pPr>
      <w:ind w:left="567" w:hanging="567"/>
      <w:tabs>
        <w:tab w:val="left" w:pos="720" w:leader="none"/>
      </w:tabs>
      <w:outlineLvl w:val="1"/>
    </w:pPr>
    <w:rPr>
      <w:b/>
      <w:sz w:val="30"/>
      <w:szCs w:val="28"/>
    </w:rPr>
  </w:style>
  <w:style w:type="paragraph" w:styleId="1059" w:customStyle="1">
    <w:name w:val="__正文"/>
    <w:basedOn w:val="1060"/>
    <w:next w:val="1060"/>
    <w:qFormat/>
    <w:rPr>
      <w:sz w:val="21"/>
    </w:rPr>
  </w:style>
  <w:style w:type="paragraph" w:styleId="1060" w:customStyle="1">
    <w:name w:val="_正文"/>
    <w:basedOn w:val="803"/>
    <w:qFormat/>
    <w:pPr>
      <w:spacing w:line="360" w:lineRule="auto"/>
    </w:pPr>
    <w:rPr>
      <w:sz w:val="24"/>
    </w:rPr>
  </w:style>
  <w:style w:type="paragraph" w:styleId="1061" w:customStyle="1">
    <w:name w:val="默认段落字体 Para Char Char Char Char Char Char Char Char Char1 Char Char Char Char Char Char Char"/>
    <w:basedOn w:val="821"/>
    <w:qFormat/>
    <w:rPr>
      <w:rFonts w:ascii="Tahoma" w:hAnsi="Tahoma"/>
      <w:sz w:val="24"/>
    </w:rPr>
  </w:style>
  <w:style w:type="paragraph" w:styleId="1062" w:customStyle="1">
    <w:name w:val="格式３"/>
    <w:basedOn w:val="803"/>
    <w:uiPriority w:val="99"/>
    <w:qFormat/>
    <w:pPr>
      <w:ind w:left="600" w:hanging="600"/>
      <w:spacing w:line="420" w:lineRule="exact"/>
    </w:pPr>
    <w:rPr>
      <w:rFonts w:ascii="宋体" w:hAnsi="宋体"/>
      <w:color w:val="000000"/>
      <w:sz w:val="24"/>
    </w:rPr>
  </w:style>
  <w:style w:type="paragraph" w:styleId="1063" w:customStyle="1">
    <w:name w:val="标题3"/>
    <w:basedOn w:val="803"/>
    <w:next w:val="803"/>
    <w:qFormat/>
    <w:rPr>
      <w:rFonts w:eastAsia="方正黑体_GBK"/>
    </w:rPr>
  </w:style>
  <w:style w:type="paragraph" w:styleId="1064" w:customStyle="1">
    <w:name w:val="CSS标题 3"/>
    <w:basedOn w:val="806"/>
    <w:next w:val="803"/>
    <w:qFormat/>
  </w:style>
  <w:style w:type="paragraph" w:styleId="1065" w:customStyle="1">
    <w:name w:val="第四级"/>
    <w:basedOn w:val="803"/>
    <w:next w:val="803"/>
    <w:qFormat/>
    <w:pPr>
      <w:numPr>
        <w:ilvl w:val="3"/>
        <w:numId w:val="1"/>
      </w:numPr>
      <w:spacing w:line="360" w:lineRule="auto"/>
    </w:pPr>
    <w:rPr>
      <w:rFonts w:ascii="宋体" w:hAnsi="宋体" w:eastAsia="仿宋"/>
      <w:sz w:val="28"/>
      <w:szCs w:val="21"/>
    </w:rPr>
  </w:style>
  <w:style w:type="paragraph" w:styleId="1066" w:customStyle="1">
    <w:name w:val="Char1"/>
    <w:basedOn w:val="803"/>
    <w:qFormat/>
    <w:pPr>
      <w:tabs>
        <w:tab w:val="left" w:pos="360" w:leader="none"/>
      </w:tabs>
    </w:pPr>
    <w:rPr>
      <w:sz w:val="24"/>
    </w:rPr>
  </w:style>
  <w:style w:type="paragraph" w:styleId="1067" w:customStyle="1">
    <w:name w:val="图片表格"/>
    <w:basedOn w:val="803"/>
    <w:uiPriority w:val="6"/>
    <w:qFormat/>
    <w:pPr>
      <w:jc w:val="center"/>
    </w:pPr>
  </w:style>
  <w:style w:type="paragraph" w:styleId="1068" w:customStyle="1">
    <w:name w:val="Char Char Char Char"/>
    <w:basedOn w:val="821"/>
    <w:qFormat/>
    <w:pPr>
      <w:spacing w:line="360" w:lineRule="auto"/>
    </w:pPr>
    <w:rPr>
      <w:rFonts w:ascii="Tahoma" w:hAnsi="Tahoma"/>
      <w:sz w:val="24"/>
    </w:rPr>
  </w:style>
  <w:style w:type="paragraph" w:styleId="1069" w:customStyle="1">
    <w:name w:val="Default"/>
    <w:qFormat/>
    <w:pPr>
      <w:widowControl w:val="off"/>
    </w:pPr>
    <w:rPr>
      <w:rFonts w:ascii="仿宋" w:hAnsi="仿宋" w:cs="仿宋"/>
      <w:color w:val="000000"/>
      <w:sz w:val="24"/>
      <w:szCs w:val="24"/>
    </w:rPr>
  </w:style>
  <w:style w:type="paragraph" w:styleId="1070" w:customStyle="1">
    <w:name w:val="附录1"/>
    <w:qFormat/>
    <w:pPr>
      <w:numPr>
        <w:numId w:val="2"/>
      </w:numPr>
      <w:spacing w:before="240" w:line="600" w:lineRule="atLeast"/>
    </w:pPr>
    <w:rPr>
      <w:b/>
      <w:i/>
      <w:sz w:val="28"/>
    </w:rPr>
  </w:style>
  <w:style w:type="paragraph" w:styleId="1071" w:customStyle="1">
    <w:name w:val="CSS标题 1"/>
    <w:basedOn w:val="804"/>
    <w:next w:val="803"/>
    <w:qFormat/>
    <w:pPr>
      <w:ind w:left="431" w:hanging="431"/>
      <w:pageBreakBefore/>
    </w:pPr>
  </w:style>
  <w:style w:type="paragraph" w:styleId="1072" w:customStyle="1">
    <w:name w:val="段"/>
    <w:next w:val="803"/>
    <w:qFormat/>
    <w:pPr>
      <w:ind w:firstLine="200"/>
      <w:jc w:val="both"/>
    </w:pPr>
    <w:rPr>
      <w:rFonts w:ascii="宋体"/>
      <w:sz w:val="21"/>
      <w:szCs w:val="22"/>
    </w:rPr>
  </w:style>
  <w:style w:type="paragraph" w:styleId="1073" w:customStyle="1">
    <w:name w:val="CSSNJ正文"/>
    <w:qFormat/>
    <w:pPr>
      <w:ind w:firstLine="200"/>
      <w:spacing w:line="360" w:lineRule="auto"/>
    </w:pPr>
    <w:rPr>
      <w:rFonts w:ascii="Calibri" w:hAnsi="Calibri"/>
      <w:sz w:val="24"/>
      <w:szCs w:val="21"/>
    </w:rPr>
  </w:style>
  <w:style w:type="paragraph" w:styleId="1074" w:customStyle="1">
    <w:name w:val="Char Char Char Char1 Char Char"/>
    <w:basedOn w:val="803"/>
    <w:qFormat/>
    <w:pPr>
      <w:tabs>
        <w:tab w:val="left" w:pos="360" w:leader="none"/>
      </w:tabs>
    </w:pPr>
    <w:rPr>
      <w:sz w:val="24"/>
    </w:rPr>
  </w:style>
  <w:style w:type="paragraph" w:styleId="1075" w:customStyle="1">
    <w:name w:val="DAS正文"/>
    <w:basedOn w:val="803"/>
    <w:qFormat/>
    <w:pPr>
      <w:ind w:right="181" w:firstLine="480"/>
      <w:spacing w:line="360" w:lineRule="auto"/>
    </w:pPr>
    <w:rPr>
      <w:rFonts w:ascii="Verdana" w:hAnsi="Verdana"/>
    </w:rPr>
  </w:style>
  <w:style w:type="paragraph" w:styleId="1076" w:customStyle="1">
    <w:name w:val="正文 第一章"/>
    <w:basedOn w:val="803"/>
    <w:next w:val="1077"/>
    <w:qFormat/>
    <w:pPr>
      <w:numPr>
        <w:numId w:val="1"/>
      </w:numPr>
      <w:jc w:val="center"/>
      <w:pageBreakBefore/>
      <w:spacing w:before="240" w:after="240" w:line="480" w:lineRule="auto"/>
      <w:outlineLvl w:val="0"/>
    </w:pPr>
    <w:rPr>
      <w:rFonts w:ascii="黑体" w:hAnsi="宋体" w:eastAsia="黑体"/>
      <w:sz w:val="36"/>
      <w:szCs w:val="21"/>
    </w:rPr>
  </w:style>
  <w:style w:type="paragraph" w:styleId="1077" w:customStyle="1">
    <w:name w:val="正文 1.1"/>
    <w:basedOn w:val="803"/>
    <w:next w:val="1078"/>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78" w:customStyle="1">
    <w:name w:val="正文 1.1.1"/>
    <w:basedOn w:val="803"/>
    <w:next w:val="803"/>
    <w:qFormat/>
    <w:pPr>
      <w:numPr>
        <w:ilvl w:val="2"/>
        <w:numId w:val="1"/>
      </w:numPr>
      <w:spacing w:line="360" w:lineRule="auto"/>
      <w:outlineLvl w:val="2"/>
    </w:pPr>
    <w:rPr>
      <w:rFonts w:ascii="宋体" w:hAnsi="宋体"/>
      <w:color w:val="000000"/>
      <w:sz w:val="28"/>
      <w:szCs w:val="21"/>
    </w:rPr>
  </w:style>
  <w:style w:type="paragraph" w:styleId="1079" w:customStyle="1">
    <w:name w:val="xl47"/>
    <w:basedOn w:val="803"/>
    <w:qFormat/>
    <w:pPr>
      <w:jc w:val="center"/>
      <w:spacing w:before="100" w:beforeAutospacing="1" w:after="100" w:afterAutospacing="1"/>
    </w:pPr>
    <w:rPr>
      <w:rFonts w:hint="eastAsia" w:ascii="方正姚体" w:hAnsi="宋体" w:eastAsia="方正姚体"/>
      <w:b/>
      <w:bCs/>
      <w:sz w:val="36"/>
      <w:szCs w:val="36"/>
    </w:rPr>
  </w:style>
  <w:style w:type="paragraph" w:styleId="1080" w:customStyle="1">
    <w:name w:val="正文 正文"/>
    <w:basedOn w:val="803"/>
    <w:qFormat/>
    <w:pPr>
      <w:ind w:firstLine="480"/>
      <w:spacing w:line="360" w:lineRule="auto"/>
    </w:pPr>
    <w:rPr>
      <w:rFonts w:ascii="Times New Roman" w:hAnsi="Times New Roman"/>
      <w:sz w:val="24"/>
      <w:szCs w:val="24"/>
    </w:rPr>
  </w:style>
  <w:style w:type="paragraph" w:styleId="1081" w:customStyle="1">
    <w:name w:val="正文（绿盟科技）"/>
    <w:qFormat/>
    <w:pPr>
      <w:spacing w:line="300" w:lineRule="auto"/>
    </w:pPr>
    <w:rPr>
      <w:rFonts w:ascii="Arial" w:hAnsi="Arial"/>
      <w:sz w:val="21"/>
      <w:szCs w:val="21"/>
    </w:rPr>
  </w:style>
  <w:style w:type="paragraph" w:styleId="1082" w:customStyle="1">
    <w:name w:val="标题 5（有编号）（绿盟科技）"/>
    <w:basedOn w:val="803"/>
    <w:next w:val="1081"/>
    <w:qFormat/>
    <w:pPr>
      <w:numPr>
        <w:ilvl w:val="4"/>
        <w:numId w:val="3"/>
      </w:numPr>
      <w:keepLines/>
      <w:keepNext/>
      <w:spacing w:before="280" w:after="156" w:line="377" w:lineRule="auto"/>
      <w:outlineLvl w:val="4"/>
    </w:pPr>
    <w:rPr>
      <w:rFonts w:ascii="Arial" w:hAnsi="Arial" w:eastAsia="黑体"/>
      <w:b/>
      <w:szCs w:val="28"/>
    </w:rPr>
  </w:style>
  <w:style w:type="paragraph" w:styleId="1083" w:customStyle="1">
    <w:name w:val="标题2"/>
    <w:basedOn w:val="803"/>
    <w:next w:val="803"/>
    <w:qFormat/>
    <w:pPr>
      <w:jc w:val="center"/>
    </w:pPr>
    <w:rPr>
      <w:rFonts w:eastAsia="方正楷体_GBK"/>
    </w:rPr>
  </w:style>
  <w:style w:type="paragraph" w:styleId="1084" w:customStyle="1">
    <w:name w:val="CSS标题 4"/>
    <w:basedOn w:val="807"/>
    <w:next w:val="803"/>
    <w:qFormat/>
    <w:rPr>
      <w:bCs w:val="0"/>
    </w:rPr>
  </w:style>
  <w:style w:type="paragraph" w:styleId="1085" w:customStyle="1">
    <w:name w:val="Coms Alinea"/>
    <w:qFormat/>
    <w:pPr>
      <w:widowControl w:val="off"/>
    </w:pPr>
    <w:rPr>
      <w:rFonts w:ascii="Arial" w:hAnsi="Arial" w:cs="Arial"/>
    </w:rPr>
  </w:style>
  <w:style w:type="paragraph" w:styleId="1086" w:customStyle="1">
    <w:name w:val="图表文字"/>
    <w:qFormat/>
    <w:rPr>
      <w:sz w:val="21"/>
      <w:szCs w:val="21"/>
    </w:rPr>
  </w:style>
  <w:style w:type="paragraph" w:styleId="1087" w:customStyle="1">
    <w:name w:val="CSS标题 5"/>
    <w:basedOn w:val="808"/>
    <w:next w:val="803"/>
    <w:qFormat/>
    <w:rPr>
      <w:bCs w:val="0"/>
    </w:rPr>
  </w:style>
  <w:style w:type="paragraph" w:styleId="1088" w:customStyle="1">
    <w:name w:val="Table Paragraph"/>
    <w:basedOn w:val="803"/>
    <w:uiPriority w:val="1"/>
    <w:qFormat/>
    <w:rPr>
      <w:rFonts w:ascii="宋体" w:hAnsi="宋体" w:cs="宋体"/>
      <w:lang w:val="zh-CN" w:bidi="zh-CN"/>
    </w:rPr>
  </w:style>
  <w:style w:type="paragraph" w:styleId="1089" w:customStyle="1">
    <w:name w:val="标题1"/>
    <w:basedOn w:val="803"/>
    <w:next w:val="803"/>
    <w:qFormat/>
    <w:pPr>
      <w:jc w:val="center"/>
      <w:spacing w:line="700" w:lineRule="atLeast"/>
      <w:tabs>
        <w:tab w:val="left" w:pos="9193" w:leader="none"/>
        <w:tab w:val="left" w:pos="9827" w:leader="none"/>
      </w:tabs>
    </w:pPr>
    <w:rPr>
      <w:rFonts w:eastAsia="方正小标宋_GBK"/>
      <w:sz w:val="44"/>
    </w:rPr>
  </w:style>
  <w:style w:type="paragraph" w:styleId="1090" w:customStyle="1">
    <w:name w:val="msolistparagraph"/>
    <w:basedOn w:val="803"/>
    <w:next w:val="833"/>
    <w:qFormat/>
    <w:pPr>
      <w:ind w:left="890" w:firstLine="420"/>
      <w:spacing w:after="0"/>
      <w:widowControl w:val="off"/>
    </w:pPr>
    <w:rPr>
      <w:rFonts w:hint="eastAsia" w:ascii="宋体" w:hAnsi="宋体" w:eastAsia="等线"/>
      <w:szCs w:val="22"/>
    </w:rPr>
  </w:style>
  <w:style w:type="paragraph" w:styleId="1091" w:customStyle="1">
    <w:name w:val="p0"/>
    <w:basedOn w:val="803"/>
    <w:qFormat/>
    <w:pPr>
      <w:spacing w:before="100" w:beforeAutospacing="1" w:after="100" w:afterAutospacing="1"/>
    </w:pPr>
    <w:rPr>
      <w:rFonts w:ascii="宋体" w:hAnsi="宋体" w:cs="宋体"/>
      <w:sz w:val="24"/>
    </w:rPr>
  </w:style>
  <w:style w:type="paragraph" w:styleId="1092" w:customStyle="1">
    <w:name w:val="BioQuote Tekst"/>
    <w:basedOn w:val="803"/>
    <w:qFormat/>
    <w:pPr>
      <w:ind w:right="-1"/>
    </w:pPr>
    <w:rPr>
      <w:rFonts w:ascii="Arial" w:hAnsi="Arial"/>
      <w:lang w:eastAsia="en-US"/>
    </w:rPr>
  </w:style>
  <w:style w:type="paragraph" w:styleId="1093" w:customStyle="1">
    <w:name w:val="_正文段落"/>
    <w:basedOn w:val="803"/>
    <w:qFormat/>
    <w:pPr>
      <w:ind w:firstLine="200"/>
      <w:spacing w:line="360" w:lineRule="auto"/>
    </w:pPr>
    <w:rPr>
      <w:sz w:val="24"/>
    </w:rPr>
  </w:style>
  <w:style w:type="paragraph" w:styleId="1094" w:customStyle="1">
    <w:name w:val="CSS标题 2"/>
    <w:basedOn w:val="805"/>
    <w:next w:val="803"/>
    <w:qFormat/>
    <w:rPr>
      <w:sz w:val="36"/>
    </w:rPr>
  </w:style>
  <w:style w:type="paragraph" w:styleId="1095" w:customStyle="1">
    <w:name w:val="标书正文格式"/>
    <w:qFormat/>
    <w:pPr>
      <w:ind w:firstLine="200"/>
      <w:spacing w:line="360" w:lineRule="auto"/>
    </w:pPr>
    <w:rPr>
      <w:rFonts w:eastAsia="楷体_GB2312"/>
      <w:sz w:val="24"/>
      <w:szCs w:val="24"/>
    </w:rPr>
  </w:style>
  <w:style w:type="paragraph" w:styleId="1096" w:customStyle="1">
    <w:name w:val="正文内容"/>
    <w:basedOn w:val="803"/>
    <w:uiPriority w:val="99"/>
    <w:qFormat/>
    <w:pPr>
      <w:ind w:firstLine="200"/>
      <w:spacing w:line="360" w:lineRule="auto"/>
    </w:pPr>
    <w:rPr>
      <w:sz w:val="24"/>
      <w:szCs w:val="24"/>
    </w:rPr>
  </w:style>
  <w:style w:type="character" w:styleId="1097" w:customStyle="1">
    <w:name w:val="hour_am"/>
    <w:qFormat/>
  </w:style>
  <w:style w:type="character" w:styleId="1098" w:customStyle="1">
    <w:name w:val="hover"/>
    <w:qFormat/>
    <w:rPr>
      <w:shd w:val="clear" w:color="auto" w:fill="eeeeee"/>
    </w:rPr>
  </w:style>
  <w:style w:type="character" w:styleId="1099" w:customStyle="1">
    <w:name w:val="hover1"/>
    <w:qFormat/>
    <w:rPr>
      <w:color w:val="5fb878"/>
    </w:rPr>
  </w:style>
  <w:style w:type="character" w:styleId="1100" w:customStyle="1">
    <w:name w:val="hover2"/>
    <w:qFormat/>
    <w:rPr>
      <w:color w:val="5fb878"/>
    </w:rPr>
  </w:style>
  <w:style w:type="character" w:styleId="1101" w:customStyle="1">
    <w:name w:val="hover3"/>
    <w:qFormat/>
    <w:rPr>
      <w:color w:val="ffffff"/>
    </w:rPr>
  </w:style>
  <w:style w:type="character" w:styleId="1102" w:customStyle="1">
    <w:name w:val="glyphicon"/>
    <w:qFormat/>
  </w:style>
  <w:style w:type="character" w:styleId="1103" w:customStyle="1">
    <w:name w:val="old"/>
    <w:qFormat/>
    <w:rPr>
      <w:color w:val="999999"/>
    </w:rPr>
  </w:style>
  <w:style w:type="character" w:styleId="1104" w:customStyle="1">
    <w:name w:val="hour_pm"/>
    <w:qFormat/>
  </w:style>
  <w:style w:type="paragraph" w:styleId="1105" w:customStyle="1">
    <w:name w:val="a"/>
    <w:basedOn w:val="803"/>
    <w:qFormat/>
    <w:pPr>
      <w:spacing w:before="100" w:beforeAutospacing="1" w:after="100" w:afterAutospacing="1"/>
    </w:pPr>
    <w:rPr>
      <w:rFonts w:ascii="宋体" w:hAnsi="宋体" w:cs="宋体"/>
      <w:sz w:val="24"/>
    </w:rPr>
  </w:style>
  <w:style w:type="paragraph" w:styleId="1106" w:customStyle="1">
    <w:name w:val="正文文本1"/>
    <w:basedOn w:val="803"/>
    <w:qFormat/>
    <w:pPr>
      <w:spacing w:after="120"/>
    </w:pPr>
  </w:style>
  <w:style w:type="character" w:styleId="1107" w:customStyle="1">
    <w:name w:val="font11"/>
    <w:qFormat/>
    <w:rPr>
      <w:rFonts w:hint="eastAsia" w:ascii="宋体" w:hAnsi="宋体" w:eastAsia="宋体" w:cs="宋体"/>
      <w:b/>
      <w:bCs/>
      <w:color w:val="000000"/>
      <w:sz w:val="21"/>
      <w:szCs w:val="21"/>
      <w:u w:val="none"/>
    </w:rPr>
  </w:style>
  <w:style w:type="character" w:styleId="1108" w:customStyle="1">
    <w:name w:val="font21"/>
    <w:qFormat/>
    <w:rPr>
      <w:rFonts w:hint="eastAsia" w:ascii="宋体" w:hAnsi="宋体" w:eastAsia="宋体" w:cs="宋体"/>
      <w:color w:val="000000"/>
      <w:sz w:val="21"/>
      <w:szCs w:val="21"/>
      <w:u w:val="none"/>
    </w:rPr>
  </w:style>
  <w:style w:type="character" w:styleId="1109" w:customStyle="1">
    <w:name w:val="正文文本 字符"/>
    <w:basedOn w:val="813"/>
    <w:link w:val="824"/>
    <w:qFormat/>
    <w:rPr>
      <w:rFonts w:ascii="楷体_GB2312" w:hAnsi="Arial" w:eastAsia="楷体_GB2312"/>
      <w:sz w:val="28"/>
    </w:rPr>
  </w:style>
  <w:style w:type="character" w:styleId="1110" w:customStyle="1">
    <w:name w:val="正文文本首行缩进 字符"/>
    <w:basedOn w:val="1109"/>
    <w:link w:val="851"/>
    <w:uiPriority w:val="99"/>
    <w:semiHidden/>
    <w:qFormat/>
    <w:rPr>
      <w:rFonts w:ascii="Calibri" w:hAnsi="Calibri" w:eastAsia="楷体_GB2312"/>
      <w:sz w:val="22"/>
    </w:rPr>
  </w:style>
  <w:style w:type="paragraph" w:styleId="1111" w:customStyle="1">
    <w:name w:val="正文1"/>
    <w:next w:val="803"/>
    <w:qFormat/>
    <w:pPr>
      <w:jc w:val="both"/>
    </w:pPr>
    <w:rPr>
      <w:sz w:val="21"/>
      <w:szCs w:val="21"/>
    </w:rPr>
  </w:style>
  <w:style w:type="paragraph" w:styleId="1112" w:customStyle="1">
    <w:name w:val="正文文本缩进1"/>
    <w:basedOn w:val="803"/>
    <w:unhideWhenUsed/>
    <w:qFormat/>
    <w:pPr>
      <w:ind w:left="420"/>
      <w:spacing w:after="120"/>
    </w:pPr>
    <w:rPr>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20" Type="http://schemas.openxmlformats.org/officeDocument/2006/relationships/image" Target="media/image1.jp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image" Target="media/image4.jpg"/><Relationship Id="rId24" Type="http://schemas.openxmlformats.org/officeDocument/2006/relationships/image" Target="media/image5.jpg"/><Relationship Id="rId25" Type="http://schemas.openxmlformats.org/officeDocument/2006/relationships/image" Target="media/image6.jpg"/><Relationship Id="rId26" Type="http://schemas.openxmlformats.org/officeDocument/2006/relationships/image" Target="media/image7.jpg"/><Relationship Id="rId27" Type="http://schemas.openxmlformats.org/officeDocument/2006/relationships/image" Target="media/image8.jpg"/><Relationship Id="rId28" Type="http://schemas.openxmlformats.org/officeDocument/2006/relationships/image" Target="media/image9.jpg"/><Relationship Id="rId29" Type="http://schemas.openxmlformats.org/officeDocument/2006/relationships/image" Target="media/image10.jpg"/><Relationship Id="rId30" Type="http://schemas.openxmlformats.org/officeDocument/2006/relationships/image" Target="media/image11.jpg"/><Relationship Id="rId31" Type="http://schemas.openxmlformats.org/officeDocument/2006/relationships/image" Target="media/image12.jpg"/><Relationship Id="rId3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浪漫老鱼</dc:creator>
  <cp:lastModifiedBy>申小卫</cp:lastModifiedBy>
  <cp:revision>164</cp:revision>
  <dcterms:created xsi:type="dcterms:W3CDTF">2025-09-27T03:05:00Z</dcterms:created>
  <dcterms:modified xsi:type="dcterms:W3CDTF">2025-11-06T01:19:51Z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eyJoZGlkIjoiMmFlNjViOGExNjU0NzRlMTg1OWI2MjgwOTQzYjBiNGUiLCJ1c2VySWQiOiIxNjIzOTQwMTY4In0=</vt:lpwstr>
  </property>
  <property fmtid="{D5CDD505-2E9C-101B-9397-08002B2CF9AE}" pid="3" name="KSOProductBuildVer">
    <vt:lpwstr>2052-12.1.0.22529</vt:lpwstr>
  </property>
  <property fmtid="{D5CDD505-2E9C-101B-9397-08002B2CF9AE}" pid="4" name="ICV">
    <vt:lpwstr>5DA1CC6D468549BD8D4A938A6A886595_13</vt:lpwstr>
  </property>
</Properties>
</file>